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72A68" w14:textId="77777777" w:rsidR="00A135D9" w:rsidRDefault="00000000">
      <w:pPr>
        <w:spacing w:line="276" w:lineRule="auto"/>
        <w:rPr>
          <w:rFonts w:ascii="Times New Roman" w:hAnsi="Times New Roman"/>
        </w:rPr>
      </w:pPr>
      <w:r>
        <w:rPr>
          <w:rFonts w:ascii="Times New Roman" w:hAnsi="Times New Roman"/>
        </w:rPr>
        <w:t>DJEČJI VRTIĆ ĐURMANEC</w:t>
      </w:r>
    </w:p>
    <w:p w14:paraId="79127E24" w14:textId="77777777" w:rsidR="00A135D9" w:rsidRDefault="00000000">
      <w:pPr>
        <w:spacing w:line="276" w:lineRule="auto"/>
        <w:rPr>
          <w:rFonts w:ascii="Times New Roman" w:hAnsi="Times New Roman"/>
        </w:rPr>
      </w:pPr>
      <w:r>
        <w:rPr>
          <w:rFonts w:ascii="Times New Roman" w:hAnsi="Times New Roman"/>
        </w:rPr>
        <w:t>Đurmanec 49A</w:t>
      </w:r>
    </w:p>
    <w:p w14:paraId="557E2B48" w14:textId="77777777" w:rsidR="00A135D9" w:rsidRDefault="00000000">
      <w:pPr>
        <w:spacing w:line="276" w:lineRule="auto"/>
        <w:rPr>
          <w:rFonts w:ascii="Times New Roman" w:hAnsi="Times New Roman"/>
        </w:rPr>
      </w:pPr>
      <w:r>
        <w:rPr>
          <w:rFonts w:ascii="Times New Roman" w:hAnsi="Times New Roman"/>
        </w:rPr>
        <w:t>49225  Đurmanec</w:t>
      </w:r>
    </w:p>
    <w:p w14:paraId="644F3AE7" w14:textId="77777777" w:rsidR="00A135D9" w:rsidRDefault="00A135D9">
      <w:pPr>
        <w:spacing w:line="276" w:lineRule="auto"/>
        <w:rPr>
          <w:rFonts w:ascii="Times New Roman" w:hAnsi="Times New Roman"/>
        </w:rPr>
      </w:pPr>
    </w:p>
    <w:p w14:paraId="4E939046" w14:textId="77777777" w:rsidR="00A135D9" w:rsidRDefault="00000000">
      <w:pPr>
        <w:spacing w:line="276" w:lineRule="auto"/>
        <w:rPr>
          <w:rFonts w:ascii="Times New Roman" w:hAnsi="Times New Roman"/>
          <w:szCs w:val="24"/>
        </w:rPr>
      </w:pPr>
      <w:r>
        <w:rPr>
          <w:rFonts w:ascii="Times New Roman" w:hAnsi="Times New Roman"/>
          <w:szCs w:val="24"/>
        </w:rPr>
        <w:t>IBAN: HR4223400091111139711</w:t>
      </w:r>
    </w:p>
    <w:p w14:paraId="0E12BDE7" w14:textId="77777777" w:rsidR="00A135D9" w:rsidRDefault="00000000">
      <w:pPr>
        <w:spacing w:line="276" w:lineRule="auto"/>
        <w:rPr>
          <w:rFonts w:ascii="Times New Roman" w:hAnsi="Times New Roman"/>
        </w:rPr>
      </w:pPr>
      <w:r>
        <w:rPr>
          <w:rFonts w:ascii="Times New Roman" w:hAnsi="Times New Roman"/>
        </w:rPr>
        <w:t>Telefon: 049/346-346</w:t>
      </w:r>
    </w:p>
    <w:p w14:paraId="000BECB0" w14:textId="77777777" w:rsidR="00A135D9" w:rsidRDefault="00A135D9">
      <w:pPr>
        <w:spacing w:line="276" w:lineRule="auto"/>
        <w:rPr>
          <w:rFonts w:ascii="Times New Roman" w:hAnsi="Times New Roman"/>
        </w:rPr>
      </w:pPr>
    </w:p>
    <w:p w14:paraId="6483BE07" w14:textId="1CF44ED3" w:rsidR="00A135D9" w:rsidRDefault="00000000">
      <w:pPr>
        <w:spacing w:line="276" w:lineRule="auto"/>
        <w:rPr>
          <w:rFonts w:ascii="Times New Roman" w:hAnsi="Times New Roman"/>
        </w:rPr>
      </w:pPr>
      <w:r>
        <w:rPr>
          <w:rFonts w:ascii="Times New Roman" w:hAnsi="Times New Roman"/>
        </w:rPr>
        <w:t>KLASA:</w:t>
      </w:r>
      <w:r w:rsidR="00266070">
        <w:rPr>
          <w:rFonts w:ascii="Times New Roman" w:hAnsi="Times New Roman"/>
        </w:rPr>
        <w:t>400-04/24-01/0001</w:t>
      </w:r>
    </w:p>
    <w:p w14:paraId="2D1E0530" w14:textId="5C200AB6" w:rsidR="00A135D9" w:rsidRDefault="00000000">
      <w:pPr>
        <w:spacing w:line="276" w:lineRule="auto"/>
        <w:rPr>
          <w:rFonts w:ascii="Times New Roman" w:hAnsi="Times New Roman"/>
        </w:rPr>
      </w:pPr>
      <w:r>
        <w:rPr>
          <w:rFonts w:ascii="Times New Roman" w:hAnsi="Times New Roman"/>
        </w:rPr>
        <w:t>URBROJ:</w:t>
      </w:r>
      <w:r w:rsidR="00266070">
        <w:rPr>
          <w:rFonts w:ascii="Times New Roman" w:hAnsi="Times New Roman"/>
        </w:rPr>
        <w:t>2140-57-02-24-2</w:t>
      </w:r>
    </w:p>
    <w:p w14:paraId="73B9C01A" w14:textId="44407481" w:rsidR="00A135D9" w:rsidRDefault="00000000">
      <w:pPr>
        <w:spacing w:line="276" w:lineRule="auto"/>
        <w:rPr>
          <w:rFonts w:ascii="Times New Roman" w:hAnsi="Times New Roman"/>
        </w:rPr>
      </w:pPr>
      <w:r>
        <w:rPr>
          <w:rFonts w:ascii="Times New Roman" w:hAnsi="Times New Roman"/>
        </w:rPr>
        <w:t xml:space="preserve">Đurmanec, </w:t>
      </w:r>
      <w:r w:rsidR="00266070">
        <w:rPr>
          <w:rFonts w:ascii="Times New Roman" w:hAnsi="Times New Roman"/>
        </w:rPr>
        <w:t>23. siječnja 2024.</w:t>
      </w:r>
    </w:p>
    <w:p w14:paraId="380B9218" w14:textId="77777777" w:rsidR="00A135D9" w:rsidRDefault="00000000">
      <w:pPr>
        <w:spacing w:line="276" w:lineRule="auto"/>
        <w:rPr>
          <w:rFonts w:ascii="Times New Roman" w:hAnsi="Times New Roman"/>
          <w:color w:val="000000" w:themeColor="text1"/>
          <w:szCs w:val="24"/>
        </w:rPr>
      </w:pPr>
      <w:r>
        <w:rPr>
          <w:rFonts w:ascii="Times New Roman" w:hAnsi="Times New Roman"/>
        </w:rPr>
        <w:tab/>
      </w:r>
      <w:r>
        <w:rPr>
          <w:rFonts w:ascii="Times New Roman" w:hAnsi="Times New Roman"/>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Broj RPK-a: 52071</w:t>
      </w:r>
    </w:p>
    <w:p w14:paraId="2EF064E2" w14:textId="77777777" w:rsidR="00A135D9" w:rsidRDefault="00000000">
      <w:pPr>
        <w:pStyle w:val="Naslov1"/>
        <w:spacing w:line="276" w:lineRule="auto"/>
        <w:jc w:val="right"/>
        <w:rPr>
          <w:rFonts w:ascii="Times New Roman" w:hAnsi="Times New Roman"/>
          <w:b w:val="0"/>
          <w:color w:val="000000" w:themeColor="text1"/>
          <w:szCs w:val="24"/>
        </w:rPr>
      </w:pPr>
      <w:r>
        <w:rPr>
          <w:rFonts w:ascii="Times New Roman" w:hAnsi="Times New Roman"/>
          <w:b w:val="0"/>
          <w:color w:val="000000" w:themeColor="text1"/>
          <w:szCs w:val="24"/>
        </w:rPr>
        <w:tab/>
      </w:r>
      <w:r>
        <w:rPr>
          <w:rFonts w:ascii="Times New Roman" w:hAnsi="Times New Roman"/>
          <w:b w:val="0"/>
          <w:color w:val="000000" w:themeColor="text1"/>
          <w:szCs w:val="24"/>
        </w:rPr>
        <w:tab/>
      </w:r>
      <w:r>
        <w:rPr>
          <w:rFonts w:ascii="Times New Roman" w:hAnsi="Times New Roman"/>
          <w:b w:val="0"/>
          <w:color w:val="000000" w:themeColor="text1"/>
          <w:szCs w:val="24"/>
        </w:rPr>
        <w:tab/>
      </w:r>
      <w:r>
        <w:rPr>
          <w:rFonts w:ascii="Times New Roman" w:hAnsi="Times New Roman"/>
          <w:b w:val="0"/>
          <w:color w:val="000000" w:themeColor="text1"/>
          <w:szCs w:val="24"/>
        </w:rPr>
        <w:tab/>
      </w:r>
      <w:r>
        <w:rPr>
          <w:rFonts w:ascii="Times New Roman" w:hAnsi="Times New Roman"/>
          <w:b w:val="0"/>
          <w:color w:val="000000" w:themeColor="text1"/>
          <w:szCs w:val="24"/>
        </w:rPr>
        <w:tab/>
      </w:r>
      <w:r>
        <w:rPr>
          <w:rFonts w:ascii="Times New Roman" w:hAnsi="Times New Roman"/>
          <w:b w:val="0"/>
          <w:color w:val="000000" w:themeColor="text1"/>
          <w:szCs w:val="24"/>
        </w:rPr>
        <w:tab/>
        <w:t xml:space="preserve">                  </w:t>
      </w:r>
      <w:r>
        <w:rPr>
          <w:rFonts w:ascii="Times New Roman" w:hAnsi="Times New Roman"/>
          <w:b w:val="0"/>
          <w:color w:val="000000" w:themeColor="text1"/>
          <w:szCs w:val="24"/>
        </w:rPr>
        <w:tab/>
      </w:r>
      <w:r>
        <w:rPr>
          <w:rFonts w:ascii="Times New Roman" w:hAnsi="Times New Roman"/>
          <w:b w:val="0"/>
          <w:color w:val="000000" w:themeColor="text1"/>
          <w:szCs w:val="24"/>
        </w:rPr>
        <w:tab/>
      </w:r>
      <w:r>
        <w:rPr>
          <w:rFonts w:ascii="Times New Roman" w:hAnsi="Times New Roman"/>
          <w:b w:val="0"/>
          <w:color w:val="000000" w:themeColor="text1"/>
          <w:szCs w:val="24"/>
        </w:rPr>
        <w:tab/>
        <w:t>Matični broj: 05426499</w:t>
      </w:r>
    </w:p>
    <w:p w14:paraId="575AF47D" w14:textId="77777777" w:rsidR="00A135D9" w:rsidRDefault="00000000">
      <w:pPr>
        <w:pStyle w:val="Naslov1"/>
        <w:spacing w:line="276" w:lineRule="auto"/>
        <w:jc w:val="right"/>
        <w:rPr>
          <w:rFonts w:ascii="Times New Roman" w:hAnsi="Times New Roman"/>
          <w:b w:val="0"/>
          <w:szCs w:val="24"/>
        </w:rPr>
      </w:pPr>
      <w:r>
        <w:rPr>
          <w:rFonts w:ascii="Times New Roman" w:hAnsi="Times New Roman"/>
          <w:b w:val="0"/>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r>
        <w:rPr>
          <w:rFonts w:ascii="Times New Roman" w:hAnsi="Times New Roman"/>
          <w:b w:val="0"/>
          <w:bCs/>
          <w:color w:val="000000" w:themeColor="text1"/>
          <w:szCs w:val="24"/>
        </w:rPr>
        <w:t>OIB: 74055567370</w:t>
      </w:r>
      <w:r>
        <w:rPr>
          <w:rFonts w:ascii="Times New Roman" w:hAnsi="Times New Roman"/>
          <w:color w:val="000000" w:themeColor="text1"/>
          <w:szCs w:val="24"/>
        </w:rPr>
        <w:tab/>
        <w:t xml:space="preserve">   </w:t>
      </w:r>
    </w:p>
    <w:p w14:paraId="576236B3" w14:textId="77777777" w:rsidR="00A135D9" w:rsidRDefault="00000000">
      <w:pPr>
        <w:ind w:left="6372"/>
        <w:jc w:val="right"/>
        <w:rPr>
          <w:rFonts w:ascii="Times New Roman" w:hAnsi="Times New Roman"/>
          <w:szCs w:val="24"/>
        </w:rPr>
      </w:pPr>
      <w:r>
        <w:rPr>
          <w:rFonts w:ascii="Times New Roman" w:hAnsi="Times New Roman"/>
          <w:szCs w:val="24"/>
        </w:rPr>
        <w:t xml:space="preserve">         Šifra Općine: 1082</w:t>
      </w:r>
    </w:p>
    <w:p w14:paraId="6DD96251"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                                                                                                                         Šifra djelatnosti: 8510 </w:t>
      </w:r>
    </w:p>
    <w:p w14:paraId="479DAFD7"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                                                                                                                - predškolsko obrazovanje</w:t>
      </w:r>
    </w:p>
    <w:p w14:paraId="076FB309"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                                                                                                                            Razina: 21</w:t>
      </w:r>
    </w:p>
    <w:p w14:paraId="63341145" w14:textId="77777777" w:rsidR="00A135D9" w:rsidRDefault="00A135D9">
      <w:pPr>
        <w:spacing w:line="276" w:lineRule="auto"/>
        <w:jc w:val="right"/>
        <w:rPr>
          <w:rFonts w:ascii="Times New Roman" w:hAnsi="Times New Roman"/>
          <w:szCs w:val="24"/>
        </w:rPr>
      </w:pPr>
    </w:p>
    <w:p w14:paraId="5F877C53" w14:textId="77777777" w:rsidR="00A135D9" w:rsidRDefault="00A135D9">
      <w:pPr>
        <w:pStyle w:val="Naslov1"/>
        <w:tabs>
          <w:tab w:val="left" w:pos="6450"/>
        </w:tabs>
        <w:spacing w:line="276" w:lineRule="auto"/>
        <w:jc w:val="center"/>
        <w:rPr>
          <w:rFonts w:ascii="Times New Roman" w:hAnsi="Times New Roman"/>
          <w:szCs w:val="24"/>
        </w:rPr>
      </w:pPr>
    </w:p>
    <w:p w14:paraId="6BB96A72" w14:textId="77777777" w:rsidR="00A135D9" w:rsidRDefault="00000000">
      <w:pPr>
        <w:pStyle w:val="Naslov1"/>
        <w:tabs>
          <w:tab w:val="left" w:pos="6450"/>
        </w:tabs>
        <w:spacing w:line="276" w:lineRule="auto"/>
        <w:jc w:val="center"/>
        <w:rPr>
          <w:rFonts w:ascii="Times New Roman" w:hAnsi="Times New Roman"/>
          <w:szCs w:val="24"/>
        </w:rPr>
      </w:pPr>
      <w:r>
        <w:rPr>
          <w:rFonts w:ascii="Times New Roman" w:hAnsi="Times New Roman"/>
          <w:szCs w:val="24"/>
        </w:rPr>
        <w:t>BILJEŠKE UZ FINANCIJSKI IZVJEŠTAJ</w:t>
      </w:r>
    </w:p>
    <w:p w14:paraId="43357FA4" w14:textId="77777777" w:rsidR="00A135D9" w:rsidRDefault="00000000">
      <w:pPr>
        <w:pStyle w:val="Naslov1"/>
        <w:tabs>
          <w:tab w:val="left" w:pos="6450"/>
        </w:tabs>
        <w:spacing w:line="276" w:lineRule="auto"/>
        <w:jc w:val="center"/>
        <w:rPr>
          <w:rFonts w:ascii="Times New Roman" w:hAnsi="Times New Roman"/>
          <w:color w:val="000000" w:themeColor="text1"/>
          <w:szCs w:val="24"/>
        </w:rPr>
      </w:pPr>
      <w:r>
        <w:rPr>
          <w:rFonts w:ascii="Times New Roman" w:hAnsi="Times New Roman"/>
          <w:color w:val="000000" w:themeColor="text1"/>
          <w:szCs w:val="24"/>
        </w:rPr>
        <w:t>za razdoblje od 1.1.2023. do 31.12.2023. godine</w:t>
      </w:r>
    </w:p>
    <w:p w14:paraId="766E8387" w14:textId="77777777" w:rsidR="00A135D9" w:rsidRDefault="00A135D9">
      <w:pPr>
        <w:spacing w:line="276" w:lineRule="auto"/>
        <w:rPr>
          <w:rFonts w:ascii="Times New Roman" w:hAnsi="Times New Roman"/>
          <w:szCs w:val="24"/>
        </w:rPr>
      </w:pPr>
    </w:p>
    <w:p w14:paraId="08B8C0CA" w14:textId="77777777" w:rsidR="00A135D9" w:rsidRDefault="00000000">
      <w:pPr>
        <w:spacing w:line="276" w:lineRule="auto"/>
        <w:ind w:firstLine="708"/>
        <w:rPr>
          <w:rFonts w:ascii="Times New Roman" w:hAnsi="Times New Roman"/>
          <w:szCs w:val="24"/>
        </w:rPr>
      </w:pPr>
      <w:r>
        <w:rPr>
          <w:rFonts w:ascii="Times New Roman" w:hAnsi="Times New Roman"/>
          <w:szCs w:val="24"/>
        </w:rPr>
        <w:t xml:space="preserve">Dječji vrtić Đurmanec javna je ustanova koja u okviru djelatnosti predškolskog odgoja i obrazovanja ostvaruje programe odgoja, obrazovanja, zdravstvene zaštite, prehrane i socijalne skrbi djece rane i predškolske dobi na području općine Đurmanec.  </w:t>
      </w:r>
    </w:p>
    <w:p w14:paraId="32C8CAD8" w14:textId="77777777" w:rsidR="00A135D9" w:rsidRDefault="00000000">
      <w:pPr>
        <w:spacing w:line="276" w:lineRule="auto"/>
        <w:ind w:firstLine="708"/>
        <w:rPr>
          <w:rFonts w:ascii="Times New Roman" w:hAnsi="Times New Roman"/>
          <w:szCs w:val="24"/>
        </w:rPr>
      </w:pPr>
      <w:r>
        <w:rPr>
          <w:rFonts w:ascii="Times New Roman" w:hAnsi="Times New Roman"/>
          <w:szCs w:val="24"/>
        </w:rPr>
        <w:t>Vrtić je osnovan u lipnju 2021. godine, a s radom je počeo 1. rujna 2021. godine.</w:t>
      </w:r>
    </w:p>
    <w:p w14:paraId="5C1A828E" w14:textId="77777777" w:rsidR="00A135D9" w:rsidRDefault="00000000">
      <w:pPr>
        <w:spacing w:line="276" w:lineRule="auto"/>
        <w:ind w:firstLine="708"/>
        <w:rPr>
          <w:rFonts w:ascii="Times New Roman" w:hAnsi="Times New Roman"/>
          <w:szCs w:val="24"/>
        </w:rPr>
      </w:pPr>
      <w:r>
        <w:rPr>
          <w:rFonts w:ascii="Times New Roman" w:hAnsi="Times New Roman"/>
          <w:szCs w:val="24"/>
        </w:rPr>
        <w:t xml:space="preserve">Programi rada se ostvaruju u skladu sa humanističko-razvojnom koncepcijom odgoja i obrazovanja čija su načela individualizacija, sloboda izbora aktivnosti te partnerstvo s roditeljima. </w:t>
      </w:r>
    </w:p>
    <w:p w14:paraId="000F635F" w14:textId="77777777" w:rsidR="00A135D9" w:rsidRDefault="00000000">
      <w:pPr>
        <w:spacing w:line="276" w:lineRule="auto"/>
        <w:ind w:firstLine="708"/>
        <w:rPr>
          <w:rFonts w:ascii="Times New Roman" w:hAnsi="Times New Roman"/>
          <w:szCs w:val="24"/>
        </w:rPr>
      </w:pPr>
      <w:r>
        <w:rPr>
          <w:rFonts w:ascii="Times New Roman" w:hAnsi="Times New Roman"/>
          <w:szCs w:val="24"/>
        </w:rPr>
        <w:t xml:space="preserve">Vrtić osigurava njegu i skrb te potiče cjeloviti razvoj i integrirano učenje djece rane i predškolske dobi, razvojem dječjih kompetencija, poštivanje i uvećavanje individualnih različitosti, interesa, potreba i sposobnosti svakog pojedinca. Pruža podršku obitelji i razvoju roditeljskih kompetencija, razvoju društvene zajednice kao i same djelatnosti ranog i predškolskog odgoja i obrazovanja. </w:t>
      </w:r>
    </w:p>
    <w:p w14:paraId="6963E88F" w14:textId="77777777" w:rsidR="00A135D9" w:rsidRDefault="00000000">
      <w:pPr>
        <w:spacing w:line="276" w:lineRule="auto"/>
        <w:ind w:firstLine="708"/>
        <w:rPr>
          <w:rFonts w:ascii="Times New Roman" w:hAnsi="Times New Roman"/>
          <w:szCs w:val="24"/>
        </w:rPr>
      </w:pPr>
      <w:r>
        <w:rPr>
          <w:rFonts w:ascii="Times New Roman" w:hAnsi="Times New Roman"/>
          <w:szCs w:val="24"/>
        </w:rPr>
        <w:t xml:space="preserve">Osnivač i vlasnik je Općina Đurmanec dok vrtićem upravlja Upravno vijeće vrtića,  a poslovni i stručni voditelj je ravnateljica. </w:t>
      </w:r>
    </w:p>
    <w:p w14:paraId="38DDA6DE" w14:textId="77777777" w:rsidR="00A135D9" w:rsidRDefault="00000000">
      <w:pPr>
        <w:spacing w:line="276" w:lineRule="auto"/>
        <w:ind w:firstLine="708"/>
        <w:rPr>
          <w:rFonts w:ascii="Times New Roman" w:hAnsi="Times New Roman"/>
          <w:szCs w:val="24"/>
        </w:rPr>
      </w:pPr>
      <w:r>
        <w:rPr>
          <w:rFonts w:ascii="Times New Roman" w:hAnsi="Times New Roman"/>
          <w:szCs w:val="24"/>
        </w:rPr>
        <w:t xml:space="preserve">Dječji vrtić obavlja djelatnost na temelju Godišnjeg plana i programa rada te Kurikuluma vrtića koje usvaja Upravno vijeće vrtića za pedagošku godinu, koja traje od 1. rujna tekuće godine do 31. kolovoza sljedeće godine te prema ostalim zakonskim propisima definiranim od strane Ministarstva znanosti, obrazovanja i sporta. </w:t>
      </w:r>
    </w:p>
    <w:p w14:paraId="2A576FDC" w14:textId="77777777" w:rsidR="00A135D9" w:rsidRDefault="00000000">
      <w:pPr>
        <w:spacing w:line="276" w:lineRule="auto"/>
        <w:ind w:firstLine="708"/>
        <w:rPr>
          <w:rFonts w:ascii="Times New Roman" w:hAnsi="Times New Roman"/>
          <w:szCs w:val="24"/>
        </w:rPr>
      </w:pPr>
      <w:r>
        <w:rPr>
          <w:rFonts w:ascii="Times New Roman" w:hAnsi="Times New Roman"/>
          <w:szCs w:val="24"/>
        </w:rPr>
        <w:t xml:space="preserve">Svrha programa predškolskog odgoja i obrazovanja omogućiti je svakom djetetu pravo na razvoj usklađen s njegovim individualnim potrebama i sposobnostima, osigurati i pripremiti preduvjete za razvoj potencijala djece za budući život te pružiti sigurnost djetetu za vrijeme boravka u vrtićkoj sredini. </w:t>
      </w:r>
    </w:p>
    <w:p w14:paraId="776B2342" w14:textId="77777777" w:rsidR="00A135D9" w:rsidRDefault="00000000">
      <w:pPr>
        <w:spacing w:line="276" w:lineRule="auto"/>
        <w:ind w:firstLine="708"/>
        <w:rPr>
          <w:rFonts w:ascii="Times New Roman" w:hAnsi="Times New Roman"/>
          <w:szCs w:val="24"/>
        </w:rPr>
      </w:pPr>
      <w:r>
        <w:rPr>
          <w:rFonts w:ascii="Times New Roman" w:hAnsi="Times New Roman"/>
          <w:szCs w:val="24"/>
        </w:rPr>
        <w:t xml:space="preserve">Programi koji se provode u okviru Godišnjeg plana i programa su redoviti desetosatni program i kraći program </w:t>
      </w:r>
      <w:proofErr w:type="spellStart"/>
      <w:r>
        <w:rPr>
          <w:rFonts w:ascii="Times New Roman" w:hAnsi="Times New Roman"/>
          <w:szCs w:val="24"/>
        </w:rPr>
        <w:t>predškole</w:t>
      </w:r>
      <w:proofErr w:type="spellEnd"/>
      <w:r>
        <w:rPr>
          <w:rFonts w:ascii="Times New Roman" w:hAnsi="Times New Roman"/>
          <w:szCs w:val="24"/>
        </w:rPr>
        <w:t xml:space="preserve">. </w:t>
      </w:r>
    </w:p>
    <w:p w14:paraId="6434A119" w14:textId="77777777" w:rsidR="00A135D9" w:rsidRDefault="00000000">
      <w:pPr>
        <w:spacing w:line="276" w:lineRule="auto"/>
        <w:ind w:firstLine="708"/>
        <w:rPr>
          <w:rFonts w:ascii="Times New Roman" w:hAnsi="Times New Roman"/>
          <w:b/>
          <w:sz w:val="28"/>
          <w:szCs w:val="28"/>
          <w:u w:val="single"/>
        </w:rPr>
      </w:pPr>
      <w:r>
        <w:rPr>
          <w:rFonts w:ascii="Times New Roman" w:hAnsi="Times New Roman"/>
          <w:szCs w:val="24"/>
        </w:rPr>
        <w:t xml:space="preserve">Zaključno sa 31.prosincem 2023. godine, Dječji vrtić Đurmanec pohađa 88 djece koji su  raspoređeni u 4 odgojno-obrazovne skupine naziva Žabice, Krijesnice, </w:t>
      </w:r>
      <w:proofErr w:type="spellStart"/>
      <w:r>
        <w:rPr>
          <w:rFonts w:ascii="Times New Roman" w:hAnsi="Times New Roman"/>
          <w:szCs w:val="24"/>
        </w:rPr>
        <w:t>Zmajčeki</w:t>
      </w:r>
      <w:proofErr w:type="spellEnd"/>
      <w:r>
        <w:rPr>
          <w:rFonts w:ascii="Times New Roman" w:hAnsi="Times New Roman"/>
          <w:szCs w:val="24"/>
        </w:rPr>
        <w:t xml:space="preserve"> i Lastavice. U kraći program </w:t>
      </w:r>
      <w:proofErr w:type="spellStart"/>
      <w:r>
        <w:rPr>
          <w:rFonts w:ascii="Times New Roman" w:hAnsi="Times New Roman"/>
          <w:szCs w:val="24"/>
        </w:rPr>
        <w:t>predškole</w:t>
      </w:r>
      <w:proofErr w:type="spellEnd"/>
      <w:r>
        <w:rPr>
          <w:rFonts w:ascii="Times New Roman" w:hAnsi="Times New Roman"/>
          <w:szCs w:val="24"/>
        </w:rPr>
        <w:t xml:space="preserve"> 2023./2024. upisano je 12 djece. </w:t>
      </w:r>
    </w:p>
    <w:p w14:paraId="52151B51" w14:textId="77777777" w:rsidR="00A135D9" w:rsidRDefault="00000000">
      <w:pPr>
        <w:spacing w:line="276" w:lineRule="auto"/>
        <w:rPr>
          <w:rFonts w:ascii="Times New Roman" w:hAnsi="Times New Roman"/>
          <w:b/>
          <w:sz w:val="28"/>
          <w:szCs w:val="28"/>
          <w:u w:val="single"/>
        </w:rPr>
      </w:pPr>
      <w:r>
        <w:rPr>
          <w:rFonts w:ascii="Times New Roman" w:hAnsi="Times New Roman"/>
          <w:b/>
          <w:sz w:val="28"/>
          <w:szCs w:val="28"/>
          <w:u w:val="single"/>
        </w:rPr>
        <w:lastRenderedPageBreak/>
        <w:t xml:space="preserve">Bilješke uz Izvještaj o prihodima i rashodima, primicima i izdacima PR-RAS: </w:t>
      </w:r>
    </w:p>
    <w:p w14:paraId="0EC5C719" w14:textId="77777777" w:rsidR="00A135D9" w:rsidRDefault="00A135D9">
      <w:pPr>
        <w:spacing w:line="276" w:lineRule="auto"/>
        <w:rPr>
          <w:rFonts w:ascii="Times New Roman" w:hAnsi="Times New Roman"/>
          <w:szCs w:val="24"/>
        </w:rPr>
      </w:pPr>
    </w:p>
    <w:p w14:paraId="5473C74C" w14:textId="77777777" w:rsidR="00A135D9" w:rsidRDefault="00000000">
      <w:pPr>
        <w:spacing w:line="276" w:lineRule="auto"/>
        <w:rPr>
          <w:rFonts w:ascii="Times New Roman" w:hAnsi="Times New Roman"/>
          <w:b/>
          <w:szCs w:val="24"/>
        </w:rPr>
      </w:pPr>
      <w:bookmarkStart w:id="0" w:name="_Hlk107995053"/>
      <w:r>
        <w:rPr>
          <w:rFonts w:ascii="Times New Roman" w:hAnsi="Times New Roman"/>
          <w:b/>
          <w:szCs w:val="24"/>
        </w:rPr>
        <w:t>Bilješka br. 1.</w:t>
      </w:r>
    </w:p>
    <w:p w14:paraId="78B197CE" w14:textId="77777777" w:rsidR="00A135D9" w:rsidRDefault="00000000">
      <w:pPr>
        <w:spacing w:line="276" w:lineRule="auto"/>
        <w:rPr>
          <w:rFonts w:ascii="Times New Roman" w:hAnsi="Times New Roman"/>
          <w:b/>
          <w:bCs/>
          <w:szCs w:val="24"/>
          <w:u w:val="single"/>
        </w:rPr>
      </w:pPr>
      <w:r>
        <w:rPr>
          <w:rFonts w:ascii="Times New Roman" w:hAnsi="Times New Roman"/>
          <w:b/>
          <w:bCs/>
          <w:szCs w:val="24"/>
          <w:u w:val="single"/>
        </w:rPr>
        <w:t xml:space="preserve">PRIHODI I RASHODI POSLOVANJA </w:t>
      </w:r>
    </w:p>
    <w:bookmarkEnd w:id="0"/>
    <w:p w14:paraId="5019BAF0" w14:textId="77777777" w:rsidR="00A135D9" w:rsidRDefault="00A135D9">
      <w:pPr>
        <w:spacing w:line="276" w:lineRule="auto"/>
        <w:rPr>
          <w:rFonts w:ascii="Times New Roman" w:hAnsi="Times New Roman"/>
          <w:b/>
          <w:szCs w:val="24"/>
        </w:rPr>
      </w:pPr>
    </w:p>
    <w:p w14:paraId="062561D5" w14:textId="77777777" w:rsidR="00A135D9" w:rsidRDefault="00000000">
      <w:pPr>
        <w:spacing w:line="276" w:lineRule="auto"/>
        <w:rPr>
          <w:rFonts w:ascii="Times New Roman" w:hAnsi="Times New Roman"/>
          <w:color w:val="000000" w:themeColor="text1"/>
          <w:szCs w:val="24"/>
        </w:rPr>
      </w:pPr>
      <w:r>
        <w:rPr>
          <w:rFonts w:ascii="Times New Roman" w:hAnsi="Times New Roman"/>
          <w:b/>
          <w:bCs/>
          <w:color w:val="000000" w:themeColor="text1"/>
          <w:szCs w:val="24"/>
          <w:u w:val="single"/>
        </w:rPr>
        <w:t>Šifra br. 6</w:t>
      </w:r>
      <w:r>
        <w:rPr>
          <w:rFonts w:ascii="Times New Roman" w:hAnsi="Times New Roman"/>
          <w:color w:val="000000" w:themeColor="text1"/>
          <w:szCs w:val="24"/>
          <w:u w:val="single"/>
        </w:rPr>
        <w:t xml:space="preserve"> </w:t>
      </w:r>
      <w:r>
        <w:rPr>
          <w:rFonts w:ascii="Times New Roman" w:hAnsi="Times New Roman"/>
          <w:color w:val="000000" w:themeColor="text1"/>
          <w:szCs w:val="24"/>
        </w:rPr>
        <w:t xml:space="preserve">odnosi se na </w:t>
      </w:r>
      <w:r>
        <w:rPr>
          <w:rFonts w:ascii="Times New Roman" w:hAnsi="Times New Roman"/>
          <w:b/>
          <w:bCs/>
          <w:color w:val="000000" w:themeColor="text1"/>
          <w:szCs w:val="24"/>
          <w:u w:val="single"/>
        </w:rPr>
        <w:t>UKUPNE PRIHODE POSLOVANJA</w:t>
      </w:r>
      <w:r>
        <w:rPr>
          <w:rFonts w:ascii="Times New Roman" w:hAnsi="Times New Roman"/>
          <w:color w:val="000000" w:themeColor="text1"/>
          <w:szCs w:val="24"/>
        </w:rPr>
        <w:t xml:space="preserve"> Dječjeg vrtića Đurmanec za razdoblje od 1.1.2023. do 31.12.2023. godine u iznosu od 377.886,87 eura (u izvještajnom razdoblju prethodne godine iznosili su 344.078,21 eura), a sastoje se od: </w:t>
      </w:r>
    </w:p>
    <w:p w14:paraId="6326D748" w14:textId="77777777" w:rsidR="00A135D9" w:rsidRDefault="00A135D9">
      <w:pPr>
        <w:spacing w:line="276" w:lineRule="auto"/>
        <w:rPr>
          <w:rFonts w:ascii="Times New Roman" w:hAnsi="Times New Roman"/>
          <w:color w:val="000000" w:themeColor="text1"/>
          <w:szCs w:val="24"/>
        </w:rPr>
      </w:pPr>
    </w:p>
    <w:p w14:paraId="641DDA1E" w14:textId="77777777" w:rsidR="00A135D9" w:rsidRDefault="00000000">
      <w:pPr>
        <w:spacing w:line="276" w:lineRule="auto"/>
        <w:rPr>
          <w:rFonts w:ascii="Times New Roman" w:hAnsi="Times New Roman"/>
          <w:color w:val="000000" w:themeColor="text1"/>
          <w:szCs w:val="24"/>
        </w:rPr>
      </w:pPr>
      <w:r>
        <w:rPr>
          <w:rFonts w:ascii="Times New Roman" w:hAnsi="Times New Roman"/>
          <w:b/>
          <w:bCs/>
          <w:color w:val="000000" w:themeColor="text1"/>
          <w:szCs w:val="24"/>
          <w:u w:val="single"/>
        </w:rPr>
        <w:t>Šifra br. 63</w:t>
      </w:r>
      <w:r>
        <w:rPr>
          <w:rFonts w:ascii="Times New Roman" w:hAnsi="Times New Roman"/>
          <w:color w:val="000000" w:themeColor="text1"/>
          <w:szCs w:val="24"/>
        </w:rPr>
        <w:t xml:space="preserve"> odnosi se na </w:t>
      </w:r>
      <w:r>
        <w:rPr>
          <w:rFonts w:ascii="Times New Roman" w:hAnsi="Times New Roman"/>
          <w:color w:val="000000" w:themeColor="text1"/>
          <w:szCs w:val="24"/>
          <w:u w:val="single"/>
        </w:rPr>
        <w:t>POMOĆI OD SUBJEKATA UNUTAR OPĆEG PRORAČUNA</w:t>
      </w:r>
      <w:r>
        <w:rPr>
          <w:rFonts w:ascii="Times New Roman" w:hAnsi="Times New Roman"/>
          <w:color w:val="000000" w:themeColor="text1"/>
          <w:szCs w:val="24"/>
        </w:rPr>
        <w:t xml:space="preserve"> u iznosu od 3.794,00 eura - tekuće pomoći iz državnog proračuna proračunskim korisnicima proračuna JLP(R)S. Ministarstvo znanosti i obrazovanja obvezno je sredstva doznačiti preko osnivača temeljem Odluke o sufinanciranju programa javnih potreba u predškolskom odgoju i obrazovanju za 2023. godinu. U razdoblju od 1. siječnja do 31. prosinca 2023. godine od strane osnivača Općine Đurmanec doznačeno je za provođenje programa </w:t>
      </w:r>
      <w:proofErr w:type="spellStart"/>
      <w:r>
        <w:rPr>
          <w:rFonts w:ascii="Times New Roman" w:hAnsi="Times New Roman"/>
          <w:color w:val="000000" w:themeColor="text1"/>
          <w:szCs w:val="24"/>
        </w:rPr>
        <w:t>predškole</w:t>
      </w:r>
      <w:proofErr w:type="spellEnd"/>
      <w:r>
        <w:rPr>
          <w:rFonts w:ascii="Times New Roman" w:hAnsi="Times New Roman"/>
          <w:color w:val="000000" w:themeColor="text1"/>
          <w:szCs w:val="24"/>
        </w:rPr>
        <w:t xml:space="preserve"> 8 rata u ukupnom iznosu od 1.008,00 eura te  provođenje programa za djecu s teškoćama u razvoju -  7 rata u iznosu od 2.786,00 eura. </w:t>
      </w:r>
    </w:p>
    <w:p w14:paraId="68459F7E" w14:textId="77777777" w:rsidR="00A135D9" w:rsidRDefault="00A135D9">
      <w:pPr>
        <w:spacing w:line="276" w:lineRule="auto"/>
        <w:rPr>
          <w:rFonts w:ascii="Times New Roman" w:hAnsi="Times New Roman"/>
          <w:color w:val="000000" w:themeColor="text1"/>
          <w:szCs w:val="24"/>
        </w:rPr>
      </w:pPr>
    </w:p>
    <w:p w14:paraId="52048282" w14:textId="77777777" w:rsidR="00A135D9" w:rsidRDefault="00000000">
      <w:pPr>
        <w:spacing w:line="276" w:lineRule="auto"/>
        <w:rPr>
          <w:rFonts w:ascii="Times New Roman" w:hAnsi="Times New Roman"/>
          <w:color w:val="000000" w:themeColor="text1"/>
          <w:szCs w:val="24"/>
        </w:rPr>
      </w:pPr>
      <w:r>
        <w:rPr>
          <w:rFonts w:ascii="Times New Roman" w:hAnsi="Times New Roman"/>
          <w:b/>
          <w:bCs/>
          <w:color w:val="000000" w:themeColor="text1"/>
          <w:szCs w:val="24"/>
          <w:u w:val="single"/>
        </w:rPr>
        <w:t>Šifra br. 64</w:t>
      </w:r>
      <w:r>
        <w:rPr>
          <w:rFonts w:ascii="Times New Roman" w:hAnsi="Times New Roman"/>
          <w:color w:val="000000" w:themeColor="text1"/>
          <w:szCs w:val="24"/>
        </w:rPr>
        <w:t xml:space="preserve"> odnosi se na </w:t>
      </w:r>
      <w:r>
        <w:rPr>
          <w:rFonts w:ascii="Times New Roman" w:hAnsi="Times New Roman"/>
          <w:color w:val="000000" w:themeColor="text1"/>
          <w:szCs w:val="24"/>
          <w:u w:val="single"/>
        </w:rPr>
        <w:t>PRIHODE OD IMOVINE</w:t>
      </w:r>
      <w:r>
        <w:rPr>
          <w:rFonts w:ascii="Times New Roman" w:hAnsi="Times New Roman"/>
          <w:color w:val="000000" w:themeColor="text1"/>
          <w:szCs w:val="24"/>
        </w:rPr>
        <w:t xml:space="preserve"> u iznosu od 7,85 eura (šifra br. 6413 - kamate na oročena sredstva i depozite po viđenju, virman isplate kamata klijentu od strane PBZ-a).</w:t>
      </w:r>
    </w:p>
    <w:p w14:paraId="120F97FC"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U prethodnom izvještajnom razdoblju iznosili su 0,04 eura. </w:t>
      </w:r>
    </w:p>
    <w:p w14:paraId="7B466174" w14:textId="77777777" w:rsidR="00A135D9" w:rsidRDefault="00A135D9">
      <w:pPr>
        <w:spacing w:line="276" w:lineRule="auto"/>
        <w:rPr>
          <w:rFonts w:ascii="Times New Roman" w:hAnsi="Times New Roman"/>
          <w:color w:val="000000" w:themeColor="text1"/>
          <w:szCs w:val="24"/>
        </w:rPr>
      </w:pPr>
    </w:p>
    <w:p w14:paraId="5615A736" w14:textId="77777777" w:rsidR="00A135D9" w:rsidRDefault="00000000">
      <w:pPr>
        <w:spacing w:line="276" w:lineRule="auto"/>
        <w:rPr>
          <w:rFonts w:ascii="Times New Roman" w:hAnsi="Times New Roman"/>
          <w:color w:val="000000" w:themeColor="text1"/>
          <w:szCs w:val="24"/>
        </w:rPr>
      </w:pPr>
      <w:r>
        <w:rPr>
          <w:rFonts w:ascii="Times New Roman" w:hAnsi="Times New Roman"/>
          <w:b/>
          <w:bCs/>
          <w:color w:val="000000" w:themeColor="text1"/>
          <w:szCs w:val="24"/>
          <w:u w:val="single"/>
        </w:rPr>
        <w:t>Šifra br. 65</w:t>
      </w:r>
      <w:r>
        <w:rPr>
          <w:rFonts w:ascii="Times New Roman" w:hAnsi="Times New Roman"/>
          <w:color w:val="000000" w:themeColor="text1"/>
          <w:szCs w:val="24"/>
        </w:rPr>
        <w:t xml:space="preserve"> odnosi se na </w:t>
      </w:r>
      <w:r>
        <w:rPr>
          <w:rFonts w:ascii="Times New Roman" w:hAnsi="Times New Roman"/>
          <w:color w:val="000000" w:themeColor="text1"/>
          <w:szCs w:val="24"/>
          <w:u w:val="single"/>
        </w:rPr>
        <w:t>PRIHODE OD UPR. I ADM. PRISTOJBI, PRISTOJBI PO POS.PROPISIMA I NAKNADAMA</w:t>
      </w:r>
      <w:r>
        <w:rPr>
          <w:rFonts w:ascii="Times New Roman" w:hAnsi="Times New Roman"/>
          <w:color w:val="000000" w:themeColor="text1"/>
          <w:szCs w:val="24"/>
        </w:rPr>
        <w:t xml:space="preserve"> u iznosu od 127.094,33 eura (šifra br. 6526 - ostali nespomenuti prihodi - sufinanciranje cijene usluga, participacija smještaja). </w:t>
      </w:r>
    </w:p>
    <w:p w14:paraId="17BC9710"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U izvještajnom razdoblju prethodne godine iznosili su: 114.899,77 eura. Do povećanja prihoda došlo je iz razloga što je donijeta 13. ožujka 2023. godine Odluka o utvrđivanju ekonomske cijene Dječjeg vrtića Đurmanec kojom je uvećana cijena smještaja na 325,00 eura mjesečno. </w:t>
      </w:r>
    </w:p>
    <w:p w14:paraId="38FC0F7D" w14:textId="77777777" w:rsidR="00A135D9" w:rsidRDefault="00A135D9">
      <w:pPr>
        <w:spacing w:line="276" w:lineRule="auto"/>
        <w:rPr>
          <w:rFonts w:ascii="Times New Roman" w:hAnsi="Times New Roman"/>
          <w:color w:val="000000" w:themeColor="text1"/>
          <w:szCs w:val="24"/>
        </w:rPr>
      </w:pPr>
    </w:p>
    <w:p w14:paraId="38EAFD9C" w14:textId="77777777" w:rsidR="00A135D9" w:rsidRDefault="00000000">
      <w:pPr>
        <w:spacing w:line="276" w:lineRule="auto"/>
        <w:rPr>
          <w:rFonts w:ascii="Times New Roman" w:hAnsi="Times New Roman"/>
          <w:color w:val="000000" w:themeColor="text1"/>
          <w:szCs w:val="24"/>
        </w:rPr>
      </w:pPr>
      <w:r>
        <w:rPr>
          <w:rFonts w:ascii="Times New Roman" w:hAnsi="Times New Roman"/>
          <w:b/>
          <w:bCs/>
          <w:color w:val="000000" w:themeColor="text1"/>
          <w:szCs w:val="24"/>
          <w:u w:val="single"/>
        </w:rPr>
        <w:t>Šifra br. 66</w:t>
      </w:r>
      <w:r>
        <w:rPr>
          <w:rFonts w:ascii="Times New Roman" w:hAnsi="Times New Roman"/>
          <w:color w:val="000000" w:themeColor="text1"/>
          <w:szCs w:val="24"/>
        </w:rPr>
        <w:t xml:space="preserve"> odnosi se na </w:t>
      </w:r>
      <w:r>
        <w:rPr>
          <w:rFonts w:ascii="Times New Roman" w:hAnsi="Times New Roman"/>
          <w:color w:val="000000" w:themeColor="text1"/>
          <w:szCs w:val="24"/>
          <w:u w:val="single"/>
        </w:rPr>
        <w:t>PRIHODE OD PRODAJE PROIZVODA I ROBE TE PRUŽENIH USLUGA, PRIHODI OD DONACIJA</w:t>
      </w:r>
      <w:r>
        <w:rPr>
          <w:rFonts w:ascii="Times New Roman" w:hAnsi="Times New Roman"/>
          <w:color w:val="000000" w:themeColor="text1"/>
          <w:szCs w:val="24"/>
        </w:rPr>
        <w:t xml:space="preserve"> u iznosu od 200,00 eura (šifra br. 6632 - kapitalna donacija - plesno sportska udruga EMA-DIV). </w:t>
      </w:r>
    </w:p>
    <w:p w14:paraId="2A10234A"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U prethodnom izvještajnom razdoblju iznosili su 597,25 eura. Do umanjenja prihoda u odnosu na prethodno razdoblje došlo iz razloga što je primljen manji iznos donacija. </w:t>
      </w:r>
    </w:p>
    <w:p w14:paraId="48268AA6" w14:textId="77777777" w:rsidR="00A135D9" w:rsidRDefault="00A135D9">
      <w:pPr>
        <w:spacing w:line="276" w:lineRule="auto"/>
        <w:rPr>
          <w:rFonts w:ascii="Times New Roman" w:hAnsi="Times New Roman"/>
          <w:color w:val="000000" w:themeColor="text1"/>
          <w:szCs w:val="24"/>
        </w:rPr>
      </w:pPr>
    </w:p>
    <w:p w14:paraId="09A1E810" w14:textId="77777777" w:rsidR="00A135D9" w:rsidRDefault="00000000">
      <w:pPr>
        <w:spacing w:line="276" w:lineRule="auto"/>
        <w:rPr>
          <w:rFonts w:ascii="Times New Roman" w:hAnsi="Times New Roman"/>
          <w:color w:val="000000" w:themeColor="text1"/>
          <w:szCs w:val="24"/>
        </w:rPr>
      </w:pPr>
      <w:r>
        <w:rPr>
          <w:rFonts w:ascii="Times New Roman" w:hAnsi="Times New Roman"/>
          <w:b/>
          <w:bCs/>
          <w:color w:val="000000" w:themeColor="text1"/>
          <w:szCs w:val="24"/>
          <w:u w:val="single"/>
        </w:rPr>
        <w:t xml:space="preserve">Šifra br. 67 </w:t>
      </w:r>
      <w:r>
        <w:rPr>
          <w:rFonts w:ascii="Times New Roman" w:hAnsi="Times New Roman"/>
          <w:color w:val="000000" w:themeColor="text1"/>
          <w:szCs w:val="24"/>
        </w:rPr>
        <w:t xml:space="preserve">odnosi se na </w:t>
      </w:r>
      <w:r>
        <w:rPr>
          <w:rFonts w:ascii="Times New Roman" w:hAnsi="Times New Roman"/>
          <w:color w:val="000000" w:themeColor="text1"/>
          <w:szCs w:val="24"/>
          <w:u w:val="single"/>
        </w:rPr>
        <w:t>PRIHODI IZ NAD. PRORAČUNA I OD HZZO-a NA TEMELJU UGOVORNIH OBVEZA</w:t>
      </w:r>
      <w:r>
        <w:rPr>
          <w:rFonts w:ascii="Times New Roman" w:hAnsi="Times New Roman"/>
          <w:color w:val="000000" w:themeColor="text1"/>
          <w:szCs w:val="24"/>
        </w:rPr>
        <w:t xml:space="preserve"> u iznosu od 246.790,69 eura, a sastoje se od:    </w:t>
      </w:r>
    </w:p>
    <w:p w14:paraId="2350548D" w14:textId="77777777" w:rsidR="00A135D9" w:rsidRDefault="00000000">
      <w:pPr>
        <w:spacing w:line="276" w:lineRule="auto"/>
        <w:ind w:firstLine="720"/>
        <w:rPr>
          <w:rFonts w:ascii="Times New Roman" w:hAnsi="Times New Roman"/>
          <w:color w:val="000000" w:themeColor="text1"/>
          <w:szCs w:val="24"/>
        </w:rPr>
      </w:pPr>
      <w:r>
        <w:rPr>
          <w:rFonts w:ascii="Times New Roman" w:hAnsi="Times New Roman"/>
          <w:color w:val="000000" w:themeColor="text1"/>
          <w:szCs w:val="24"/>
        </w:rPr>
        <w:t>- šifra br. 6711 - prihodi iz nadležnog proračuna financiranje rashoda poslovanja – uplate od strane Osnivača u iznosu od 241.770,48 eura što se odnosi na 1/12 Financijskog plana mjesečno</w:t>
      </w:r>
    </w:p>
    <w:p w14:paraId="5BC87B8A" w14:textId="77777777" w:rsidR="00A135D9" w:rsidRDefault="00000000">
      <w:pPr>
        <w:spacing w:line="276" w:lineRule="auto"/>
        <w:ind w:firstLine="720"/>
        <w:rPr>
          <w:rFonts w:ascii="Times New Roman" w:hAnsi="Times New Roman"/>
          <w:szCs w:val="24"/>
        </w:rPr>
      </w:pPr>
      <w:r>
        <w:rPr>
          <w:rFonts w:ascii="Times New Roman" w:hAnsi="Times New Roman"/>
          <w:color w:val="000000" w:themeColor="text1"/>
          <w:szCs w:val="24"/>
        </w:rPr>
        <w:t>- šifra br. 6712 - prihodi iz nadležnog proračuna za financiranje rashoda za nabavu nefinancijske imovine – uplata od strane Osnivača u iznosu od 5.020,21 eura</w:t>
      </w:r>
      <w:r>
        <w:rPr>
          <w:rFonts w:ascii="Times New Roman" w:hAnsi="Times New Roman"/>
          <w:szCs w:val="24"/>
        </w:rPr>
        <w:t xml:space="preserve"> - prijenos sredstava za nabavu opreme. </w:t>
      </w:r>
    </w:p>
    <w:p w14:paraId="35384090" w14:textId="70157E37" w:rsidR="00A135D9" w:rsidRDefault="00000000">
      <w:pPr>
        <w:spacing w:line="276" w:lineRule="auto"/>
        <w:rPr>
          <w:rFonts w:ascii="Times New Roman" w:hAnsi="Times New Roman"/>
          <w:szCs w:val="24"/>
        </w:rPr>
      </w:pPr>
      <w:r>
        <w:rPr>
          <w:rFonts w:ascii="Times New Roman" w:hAnsi="Times New Roman"/>
          <w:color w:val="000000" w:themeColor="text1"/>
          <w:szCs w:val="24"/>
        </w:rPr>
        <w:t>U prethodnom izvještajnom razdoblju  iznosili su: 228.581,14 eura. Do povećanja u odnosu na prethodno razdoblje je došlo iz razloga prijenosa sredstva od strane Osnivača u većem iznosu a u svrhu nabave potrebne imovine</w:t>
      </w:r>
      <w:r w:rsidR="00DE0554">
        <w:rPr>
          <w:rFonts w:ascii="Times New Roman" w:hAnsi="Times New Roman"/>
          <w:color w:val="000000" w:themeColor="text1"/>
          <w:szCs w:val="24"/>
        </w:rPr>
        <w:t>, te povećanju sredstava za isplatu plaća zaposlenima.</w:t>
      </w:r>
      <w:r>
        <w:rPr>
          <w:rFonts w:ascii="Times New Roman" w:hAnsi="Times New Roman"/>
          <w:color w:val="000000" w:themeColor="text1"/>
          <w:szCs w:val="24"/>
        </w:rPr>
        <w:t xml:space="preserve"> </w:t>
      </w:r>
    </w:p>
    <w:p w14:paraId="4A11AF93" w14:textId="77777777" w:rsidR="00A135D9" w:rsidRDefault="00A135D9">
      <w:pPr>
        <w:spacing w:line="276" w:lineRule="auto"/>
        <w:rPr>
          <w:rFonts w:ascii="Times New Roman" w:hAnsi="Times New Roman"/>
          <w:szCs w:val="24"/>
        </w:rPr>
      </w:pPr>
    </w:p>
    <w:p w14:paraId="23897D62" w14:textId="77777777" w:rsidR="00A135D9" w:rsidRDefault="00A135D9">
      <w:pPr>
        <w:spacing w:line="276" w:lineRule="auto"/>
        <w:rPr>
          <w:rFonts w:ascii="Times New Roman" w:hAnsi="Times New Roman"/>
          <w:szCs w:val="24"/>
        </w:rPr>
      </w:pPr>
    </w:p>
    <w:p w14:paraId="6C9BF06A" w14:textId="77777777" w:rsidR="00A135D9" w:rsidRDefault="00A135D9">
      <w:pPr>
        <w:spacing w:line="276" w:lineRule="auto"/>
        <w:rPr>
          <w:rFonts w:ascii="Times New Roman" w:hAnsi="Times New Roman"/>
          <w:szCs w:val="24"/>
        </w:rPr>
      </w:pPr>
    </w:p>
    <w:tbl>
      <w:tblPr>
        <w:tblStyle w:val="Reetkatablice"/>
        <w:tblW w:w="0" w:type="auto"/>
        <w:tblInd w:w="402" w:type="dxa"/>
        <w:tblLook w:val="04A0" w:firstRow="1" w:lastRow="0" w:firstColumn="1" w:lastColumn="0" w:noHBand="0" w:noVBand="1"/>
      </w:tblPr>
      <w:tblGrid>
        <w:gridCol w:w="687"/>
        <w:gridCol w:w="4295"/>
        <w:gridCol w:w="1821"/>
        <w:gridCol w:w="3252"/>
      </w:tblGrid>
      <w:tr w:rsidR="00A135D9" w14:paraId="4A17A559" w14:textId="77777777">
        <w:tc>
          <w:tcPr>
            <w:tcW w:w="696" w:type="dxa"/>
          </w:tcPr>
          <w:p w14:paraId="35630E37" w14:textId="77777777" w:rsidR="00A135D9" w:rsidRDefault="00A135D9">
            <w:pPr>
              <w:spacing w:line="276" w:lineRule="auto"/>
              <w:rPr>
                <w:rFonts w:ascii="Times New Roman" w:hAnsi="Times New Roman"/>
                <w:szCs w:val="24"/>
              </w:rPr>
            </w:pPr>
          </w:p>
        </w:tc>
        <w:tc>
          <w:tcPr>
            <w:tcW w:w="4384" w:type="dxa"/>
          </w:tcPr>
          <w:p w14:paraId="342529A0" w14:textId="77777777" w:rsidR="00A135D9" w:rsidRDefault="00A135D9">
            <w:pPr>
              <w:spacing w:line="276" w:lineRule="auto"/>
              <w:rPr>
                <w:rFonts w:ascii="Times New Roman" w:hAnsi="Times New Roman"/>
                <w:szCs w:val="24"/>
              </w:rPr>
            </w:pPr>
          </w:p>
        </w:tc>
        <w:tc>
          <w:tcPr>
            <w:tcW w:w="1840" w:type="dxa"/>
          </w:tcPr>
          <w:p w14:paraId="10BAAA35" w14:textId="77777777" w:rsidR="00A135D9" w:rsidRDefault="00000000">
            <w:pPr>
              <w:spacing w:line="276" w:lineRule="auto"/>
              <w:rPr>
                <w:rFonts w:ascii="Times New Roman" w:hAnsi="Times New Roman"/>
                <w:szCs w:val="24"/>
              </w:rPr>
            </w:pPr>
            <w:r>
              <w:rPr>
                <w:rFonts w:ascii="Times New Roman" w:hAnsi="Times New Roman"/>
                <w:szCs w:val="24"/>
              </w:rPr>
              <w:t xml:space="preserve">        2022.</w:t>
            </w:r>
          </w:p>
        </w:tc>
        <w:tc>
          <w:tcPr>
            <w:tcW w:w="3323" w:type="dxa"/>
          </w:tcPr>
          <w:p w14:paraId="642066E1" w14:textId="77777777" w:rsidR="00A135D9" w:rsidRDefault="00A135D9">
            <w:pPr>
              <w:numPr>
                <w:ilvl w:val="0"/>
                <w:numId w:val="1"/>
              </w:numPr>
              <w:spacing w:line="276" w:lineRule="auto"/>
              <w:rPr>
                <w:rFonts w:ascii="Times New Roman" w:hAnsi="Times New Roman"/>
                <w:szCs w:val="24"/>
              </w:rPr>
            </w:pPr>
          </w:p>
        </w:tc>
      </w:tr>
      <w:tr w:rsidR="00A135D9" w14:paraId="1FC580D2" w14:textId="77777777">
        <w:tc>
          <w:tcPr>
            <w:tcW w:w="696" w:type="dxa"/>
          </w:tcPr>
          <w:p w14:paraId="082F187C" w14:textId="77777777" w:rsidR="00A135D9" w:rsidRDefault="00000000">
            <w:pPr>
              <w:spacing w:line="276" w:lineRule="auto"/>
              <w:rPr>
                <w:rFonts w:ascii="Times New Roman" w:hAnsi="Times New Roman"/>
                <w:b/>
                <w:bCs/>
                <w:szCs w:val="24"/>
              </w:rPr>
            </w:pPr>
            <w:r>
              <w:rPr>
                <w:rFonts w:ascii="Times New Roman" w:hAnsi="Times New Roman"/>
                <w:b/>
                <w:bCs/>
                <w:szCs w:val="24"/>
              </w:rPr>
              <w:t>6</w:t>
            </w:r>
          </w:p>
        </w:tc>
        <w:tc>
          <w:tcPr>
            <w:tcW w:w="4384" w:type="dxa"/>
          </w:tcPr>
          <w:p w14:paraId="11CAF5A9" w14:textId="77777777" w:rsidR="00A135D9" w:rsidRDefault="00000000">
            <w:pPr>
              <w:spacing w:line="276" w:lineRule="auto"/>
              <w:rPr>
                <w:rFonts w:ascii="Times New Roman" w:hAnsi="Times New Roman"/>
                <w:b/>
                <w:bCs/>
                <w:szCs w:val="24"/>
              </w:rPr>
            </w:pPr>
            <w:r>
              <w:rPr>
                <w:rFonts w:ascii="Times New Roman" w:hAnsi="Times New Roman"/>
                <w:b/>
                <w:bCs/>
                <w:szCs w:val="24"/>
              </w:rPr>
              <w:t>PRIHODI POSLOVANJA</w:t>
            </w:r>
          </w:p>
        </w:tc>
        <w:tc>
          <w:tcPr>
            <w:tcW w:w="1840" w:type="dxa"/>
          </w:tcPr>
          <w:p w14:paraId="323F191B" w14:textId="77777777" w:rsidR="00A135D9" w:rsidRDefault="00000000">
            <w:pPr>
              <w:spacing w:line="276" w:lineRule="auto"/>
              <w:jc w:val="right"/>
              <w:rPr>
                <w:rFonts w:ascii="Times New Roman" w:hAnsi="Times New Roman"/>
                <w:b/>
                <w:bCs/>
                <w:szCs w:val="24"/>
              </w:rPr>
            </w:pPr>
            <w:r>
              <w:rPr>
                <w:rFonts w:ascii="Times New Roman" w:hAnsi="Times New Roman"/>
                <w:b/>
                <w:bCs/>
                <w:szCs w:val="24"/>
              </w:rPr>
              <w:t xml:space="preserve">344.078,21 eura </w:t>
            </w:r>
          </w:p>
        </w:tc>
        <w:tc>
          <w:tcPr>
            <w:tcW w:w="3323" w:type="dxa"/>
          </w:tcPr>
          <w:p w14:paraId="39B2E9F0" w14:textId="77777777" w:rsidR="00A135D9" w:rsidRDefault="00000000">
            <w:pPr>
              <w:spacing w:line="276" w:lineRule="auto"/>
              <w:jc w:val="right"/>
              <w:rPr>
                <w:rFonts w:ascii="Times New Roman" w:hAnsi="Times New Roman"/>
                <w:b/>
                <w:bCs/>
                <w:szCs w:val="24"/>
              </w:rPr>
            </w:pPr>
            <w:r>
              <w:rPr>
                <w:rFonts w:ascii="Times New Roman" w:hAnsi="Times New Roman"/>
                <w:b/>
                <w:bCs/>
                <w:szCs w:val="24"/>
              </w:rPr>
              <w:t xml:space="preserve">377.886,87 eura </w:t>
            </w:r>
          </w:p>
        </w:tc>
      </w:tr>
      <w:tr w:rsidR="00A135D9" w14:paraId="716569E7" w14:textId="77777777">
        <w:tc>
          <w:tcPr>
            <w:tcW w:w="696" w:type="dxa"/>
          </w:tcPr>
          <w:p w14:paraId="76EBA997" w14:textId="77777777" w:rsidR="00A135D9" w:rsidRDefault="00000000">
            <w:pPr>
              <w:spacing w:line="276" w:lineRule="auto"/>
              <w:rPr>
                <w:rFonts w:ascii="Times New Roman" w:hAnsi="Times New Roman"/>
                <w:szCs w:val="24"/>
              </w:rPr>
            </w:pPr>
            <w:r>
              <w:rPr>
                <w:rFonts w:ascii="Times New Roman" w:hAnsi="Times New Roman"/>
                <w:szCs w:val="24"/>
              </w:rPr>
              <w:t>63</w:t>
            </w:r>
          </w:p>
        </w:tc>
        <w:tc>
          <w:tcPr>
            <w:tcW w:w="4384" w:type="dxa"/>
          </w:tcPr>
          <w:p w14:paraId="49D5F3A0" w14:textId="77777777" w:rsidR="00A135D9" w:rsidRDefault="00000000">
            <w:pPr>
              <w:spacing w:line="276" w:lineRule="auto"/>
              <w:rPr>
                <w:rFonts w:ascii="Times New Roman" w:hAnsi="Times New Roman"/>
                <w:szCs w:val="24"/>
              </w:rPr>
            </w:pPr>
            <w:r>
              <w:rPr>
                <w:rFonts w:ascii="Times New Roman" w:hAnsi="Times New Roman"/>
                <w:szCs w:val="24"/>
              </w:rPr>
              <w:t xml:space="preserve">Pomoći od subjekata unutar </w:t>
            </w:r>
            <w:proofErr w:type="spellStart"/>
            <w:r>
              <w:rPr>
                <w:rFonts w:ascii="Times New Roman" w:hAnsi="Times New Roman"/>
                <w:szCs w:val="24"/>
              </w:rPr>
              <w:t>opć.proračuna</w:t>
            </w:r>
            <w:proofErr w:type="spellEnd"/>
          </w:p>
        </w:tc>
        <w:tc>
          <w:tcPr>
            <w:tcW w:w="1840" w:type="dxa"/>
          </w:tcPr>
          <w:p w14:paraId="2FF01F03" w14:textId="77777777" w:rsidR="00A135D9" w:rsidRDefault="00000000">
            <w:pPr>
              <w:wordWrap w:val="0"/>
              <w:spacing w:line="276" w:lineRule="auto"/>
              <w:jc w:val="right"/>
              <w:rPr>
                <w:rFonts w:ascii="Times New Roman" w:hAnsi="Times New Roman"/>
                <w:b/>
                <w:bCs/>
                <w:szCs w:val="24"/>
              </w:rPr>
            </w:pPr>
            <w:r>
              <w:rPr>
                <w:rFonts w:ascii="Times New Roman" w:hAnsi="Times New Roman"/>
                <w:szCs w:val="24"/>
              </w:rPr>
              <w:t>0,00 eura</w:t>
            </w:r>
          </w:p>
        </w:tc>
        <w:tc>
          <w:tcPr>
            <w:tcW w:w="3323" w:type="dxa"/>
          </w:tcPr>
          <w:p w14:paraId="29E2806C" w14:textId="77777777" w:rsidR="00A135D9" w:rsidRDefault="00000000">
            <w:pPr>
              <w:wordWrap w:val="0"/>
              <w:spacing w:line="276" w:lineRule="auto"/>
              <w:jc w:val="right"/>
              <w:rPr>
                <w:rFonts w:ascii="Times New Roman" w:hAnsi="Times New Roman"/>
                <w:b/>
                <w:bCs/>
                <w:szCs w:val="24"/>
              </w:rPr>
            </w:pPr>
            <w:r>
              <w:rPr>
                <w:rFonts w:ascii="Times New Roman" w:hAnsi="Times New Roman"/>
                <w:szCs w:val="24"/>
              </w:rPr>
              <w:t>3.794,00 eura</w:t>
            </w:r>
          </w:p>
        </w:tc>
      </w:tr>
      <w:tr w:rsidR="00A135D9" w14:paraId="475BB6EC" w14:textId="77777777">
        <w:tc>
          <w:tcPr>
            <w:tcW w:w="696" w:type="dxa"/>
          </w:tcPr>
          <w:p w14:paraId="5A9CA55F" w14:textId="77777777" w:rsidR="00A135D9" w:rsidRDefault="00000000">
            <w:pPr>
              <w:spacing w:line="276" w:lineRule="auto"/>
              <w:rPr>
                <w:rFonts w:ascii="Times New Roman" w:hAnsi="Times New Roman"/>
                <w:szCs w:val="24"/>
              </w:rPr>
            </w:pPr>
            <w:r>
              <w:rPr>
                <w:rFonts w:ascii="Times New Roman" w:hAnsi="Times New Roman"/>
                <w:szCs w:val="24"/>
              </w:rPr>
              <w:t>64</w:t>
            </w:r>
          </w:p>
        </w:tc>
        <w:tc>
          <w:tcPr>
            <w:tcW w:w="4384" w:type="dxa"/>
          </w:tcPr>
          <w:p w14:paraId="4681216D" w14:textId="77777777" w:rsidR="00A135D9" w:rsidRDefault="00000000">
            <w:pPr>
              <w:spacing w:line="276" w:lineRule="auto"/>
              <w:rPr>
                <w:rFonts w:ascii="Times New Roman" w:hAnsi="Times New Roman"/>
                <w:szCs w:val="24"/>
              </w:rPr>
            </w:pPr>
            <w:r>
              <w:rPr>
                <w:rFonts w:ascii="Times New Roman" w:hAnsi="Times New Roman"/>
                <w:szCs w:val="24"/>
              </w:rPr>
              <w:t xml:space="preserve">Prihodi od imovine </w:t>
            </w:r>
          </w:p>
        </w:tc>
        <w:tc>
          <w:tcPr>
            <w:tcW w:w="1840" w:type="dxa"/>
          </w:tcPr>
          <w:p w14:paraId="62EC2C5C"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0,04 eura </w:t>
            </w:r>
          </w:p>
        </w:tc>
        <w:tc>
          <w:tcPr>
            <w:tcW w:w="3323" w:type="dxa"/>
          </w:tcPr>
          <w:p w14:paraId="196EB67E"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7,85 eura </w:t>
            </w:r>
          </w:p>
        </w:tc>
      </w:tr>
      <w:tr w:rsidR="00A135D9" w14:paraId="35F6B5AC" w14:textId="77777777">
        <w:tc>
          <w:tcPr>
            <w:tcW w:w="696" w:type="dxa"/>
          </w:tcPr>
          <w:p w14:paraId="24854996" w14:textId="77777777" w:rsidR="00A135D9" w:rsidRDefault="00000000">
            <w:pPr>
              <w:spacing w:line="276" w:lineRule="auto"/>
              <w:rPr>
                <w:rFonts w:ascii="Times New Roman" w:hAnsi="Times New Roman"/>
                <w:szCs w:val="24"/>
              </w:rPr>
            </w:pPr>
            <w:r>
              <w:rPr>
                <w:rFonts w:ascii="Times New Roman" w:hAnsi="Times New Roman"/>
                <w:szCs w:val="24"/>
              </w:rPr>
              <w:t>65</w:t>
            </w:r>
          </w:p>
        </w:tc>
        <w:tc>
          <w:tcPr>
            <w:tcW w:w="4384" w:type="dxa"/>
          </w:tcPr>
          <w:p w14:paraId="2864CEC5" w14:textId="77777777" w:rsidR="00A135D9" w:rsidRDefault="00000000">
            <w:pPr>
              <w:spacing w:line="276" w:lineRule="auto"/>
              <w:rPr>
                <w:rFonts w:ascii="Times New Roman" w:hAnsi="Times New Roman"/>
                <w:szCs w:val="24"/>
              </w:rPr>
            </w:pPr>
            <w:r>
              <w:rPr>
                <w:rFonts w:ascii="Times New Roman" w:hAnsi="Times New Roman"/>
                <w:szCs w:val="24"/>
              </w:rPr>
              <w:t xml:space="preserve">Prihodi od upravnih i adm. pristojbi </w:t>
            </w:r>
          </w:p>
        </w:tc>
        <w:tc>
          <w:tcPr>
            <w:tcW w:w="1840" w:type="dxa"/>
          </w:tcPr>
          <w:p w14:paraId="3E5D15C9" w14:textId="77777777" w:rsidR="00A135D9" w:rsidRDefault="00000000">
            <w:pPr>
              <w:wordWrap w:val="0"/>
              <w:spacing w:line="276" w:lineRule="auto"/>
              <w:jc w:val="right"/>
              <w:rPr>
                <w:rFonts w:ascii="Times New Roman" w:hAnsi="Times New Roman"/>
                <w:szCs w:val="24"/>
              </w:rPr>
            </w:pPr>
            <w:r>
              <w:rPr>
                <w:rFonts w:ascii="Times New Roman" w:hAnsi="Times New Roman"/>
                <w:szCs w:val="24"/>
              </w:rPr>
              <w:t>114.899,77 eura</w:t>
            </w:r>
          </w:p>
        </w:tc>
        <w:tc>
          <w:tcPr>
            <w:tcW w:w="3323" w:type="dxa"/>
          </w:tcPr>
          <w:p w14:paraId="14199F08"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127.094,33 eura </w:t>
            </w:r>
          </w:p>
        </w:tc>
      </w:tr>
      <w:tr w:rsidR="00A135D9" w14:paraId="5B399963" w14:textId="77777777">
        <w:tc>
          <w:tcPr>
            <w:tcW w:w="696" w:type="dxa"/>
          </w:tcPr>
          <w:p w14:paraId="54A45110" w14:textId="77777777" w:rsidR="00A135D9" w:rsidRDefault="00000000">
            <w:pPr>
              <w:spacing w:line="276" w:lineRule="auto"/>
              <w:rPr>
                <w:rFonts w:ascii="Times New Roman" w:hAnsi="Times New Roman"/>
                <w:szCs w:val="24"/>
              </w:rPr>
            </w:pPr>
            <w:r>
              <w:rPr>
                <w:rFonts w:ascii="Times New Roman" w:hAnsi="Times New Roman"/>
                <w:szCs w:val="24"/>
              </w:rPr>
              <w:t>66</w:t>
            </w:r>
          </w:p>
        </w:tc>
        <w:tc>
          <w:tcPr>
            <w:tcW w:w="4384" w:type="dxa"/>
          </w:tcPr>
          <w:p w14:paraId="3EC6BAE3" w14:textId="77777777" w:rsidR="00A135D9" w:rsidRDefault="00000000">
            <w:pPr>
              <w:spacing w:line="276" w:lineRule="auto"/>
              <w:rPr>
                <w:rFonts w:ascii="Times New Roman" w:hAnsi="Times New Roman"/>
                <w:szCs w:val="24"/>
              </w:rPr>
            </w:pPr>
            <w:r>
              <w:rPr>
                <w:rFonts w:ascii="Times New Roman" w:hAnsi="Times New Roman"/>
                <w:szCs w:val="24"/>
              </w:rPr>
              <w:t xml:space="preserve">Prihodi od prodaje proizvoda </w:t>
            </w:r>
          </w:p>
        </w:tc>
        <w:tc>
          <w:tcPr>
            <w:tcW w:w="1840" w:type="dxa"/>
          </w:tcPr>
          <w:p w14:paraId="68FC7BC4"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597,25 eura </w:t>
            </w:r>
          </w:p>
        </w:tc>
        <w:tc>
          <w:tcPr>
            <w:tcW w:w="3323" w:type="dxa"/>
          </w:tcPr>
          <w:p w14:paraId="3924FE39"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200,00 eura </w:t>
            </w:r>
          </w:p>
        </w:tc>
      </w:tr>
      <w:tr w:rsidR="00A135D9" w14:paraId="5EABCF0A" w14:textId="77777777">
        <w:tc>
          <w:tcPr>
            <w:tcW w:w="696" w:type="dxa"/>
          </w:tcPr>
          <w:p w14:paraId="4BBE4C25" w14:textId="77777777" w:rsidR="00A135D9" w:rsidRDefault="00000000">
            <w:pPr>
              <w:spacing w:line="276" w:lineRule="auto"/>
              <w:rPr>
                <w:rFonts w:ascii="Times New Roman" w:hAnsi="Times New Roman"/>
                <w:szCs w:val="24"/>
              </w:rPr>
            </w:pPr>
            <w:r>
              <w:rPr>
                <w:rFonts w:ascii="Times New Roman" w:hAnsi="Times New Roman"/>
                <w:szCs w:val="24"/>
              </w:rPr>
              <w:t>67</w:t>
            </w:r>
          </w:p>
        </w:tc>
        <w:tc>
          <w:tcPr>
            <w:tcW w:w="4384" w:type="dxa"/>
          </w:tcPr>
          <w:p w14:paraId="5E7C17D5" w14:textId="77777777" w:rsidR="00A135D9" w:rsidRDefault="00000000">
            <w:pPr>
              <w:spacing w:line="276" w:lineRule="auto"/>
              <w:rPr>
                <w:rFonts w:ascii="Times New Roman" w:hAnsi="Times New Roman"/>
                <w:szCs w:val="24"/>
              </w:rPr>
            </w:pPr>
            <w:r>
              <w:rPr>
                <w:rFonts w:ascii="Times New Roman" w:hAnsi="Times New Roman"/>
                <w:szCs w:val="24"/>
              </w:rPr>
              <w:t>Prihodi od nadležnog proračuna</w:t>
            </w:r>
          </w:p>
        </w:tc>
        <w:tc>
          <w:tcPr>
            <w:tcW w:w="1840" w:type="dxa"/>
          </w:tcPr>
          <w:p w14:paraId="59AB31E6"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228.581,14 eura </w:t>
            </w:r>
          </w:p>
        </w:tc>
        <w:tc>
          <w:tcPr>
            <w:tcW w:w="3323" w:type="dxa"/>
          </w:tcPr>
          <w:p w14:paraId="17A6377F"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246.790,69 eura </w:t>
            </w:r>
          </w:p>
        </w:tc>
      </w:tr>
    </w:tbl>
    <w:p w14:paraId="00328C8D" w14:textId="77777777" w:rsidR="00A135D9" w:rsidRDefault="00A135D9">
      <w:pPr>
        <w:spacing w:line="276" w:lineRule="auto"/>
        <w:rPr>
          <w:rFonts w:ascii="Times New Roman" w:hAnsi="Times New Roman"/>
          <w:color w:val="000000" w:themeColor="text1"/>
          <w:szCs w:val="24"/>
        </w:rPr>
      </w:pPr>
    </w:p>
    <w:p w14:paraId="2E46AF80" w14:textId="77777777" w:rsidR="00A135D9" w:rsidRDefault="00A135D9">
      <w:pPr>
        <w:spacing w:line="276" w:lineRule="auto"/>
        <w:ind w:firstLine="720"/>
        <w:rPr>
          <w:rFonts w:ascii="Times New Roman" w:hAnsi="Times New Roman"/>
          <w:color w:val="000000" w:themeColor="text1"/>
          <w:szCs w:val="24"/>
        </w:rPr>
      </w:pPr>
    </w:p>
    <w:p w14:paraId="68C796C5" w14:textId="77777777" w:rsidR="00A135D9" w:rsidRDefault="00000000">
      <w:pPr>
        <w:spacing w:line="276" w:lineRule="auto"/>
        <w:rPr>
          <w:rFonts w:ascii="Times New Roman" w:hAnsi="Times New Roman"/>
          <w:color w:val="000000" w:themeColor="text1"/>
          <w:szCs w:val="24"/>
        </w:rPr>
      </w:pPr>
      <w:r>
        <w:rPr>
          <w:rFonts w:ascii="Times New Roman" w:hAnsi="Times New Roman"/>
          <w:b/>
          <w:bCs/>
          <w:color w:val="000000" w:themeColor="text1"/>
          <w:szCs w:val="24"/>
          <w:u w:val="single"/>
        </w:rPr>
        <w:t>Šifra br. 2</w:t>
      </w:r>
      <w:r>
        <w:rPr>
          <w:rFonts w:ascii="Times New Roman" w:hAnsi="Times New Roman"/>
          <w:color w:val="000000" w:themeColor="text1"/>
          <w:szCs w:val="24"/>
        </w:rPr>
        <w:t xml:space="preserve"> odnosi se na </w:t>
      </w:r>
      <w:r>
        <w:rPr>
          <w:rFonts w:ascii="Times New Roman" w:hAnsi="Times New Roman"/>
          <w:b/>
          <w:bCs/>
          <w:color w:val="000000" w:themeColor="text1"/>
          <w:szCs w:val="24"/>
          <w:u w:val="single"/>
        </w:rPr>
        <w:t>RASHODE POSLOVANJA</w:t>
      </w:r>
      <w:r>
        <w:rPr>
          <w:rFonts w:ascii="Times New Roman" w:hAnsi="Times New Roman"/>
          <w:color w:val="000000" w:themeColor="text1"/>
          <w:szCs w:val="24"/>
        </w:rPr>
        <w:t xml:space="preserve"> u iznosu od 368.928,06 eura (u prethodnom izvještajnom razdoblju iznosili su 295.352,66 eura), a sastoje se od: </w:t>
      </w:r>
    </w:p>
    <w:p w14:paraId="4BEFE08D" w14:textId="77777777" w:rsidR="00A135D9" w:rsidRDefault="00000000">
      <w:pPr>
        <w:spacing w:line="276" w:lineRule="auto"/>
        <w:ind w:firstLine="720"/>
        <w:rPr>
          <w:rFonts w:ascii="Times New Roman" w:hAnsi="Times New Roman"/>
          <w:color w:val="000000" w:themeColor="text1"/>
          <w:szCs w:val="24"/>
        </w:rPr>
      </w:pPr>
      <w:r>
        <w:rPr>
          <w:rFonts w:ascii="Times New Roman" w:hAnsi="Times New Roman"/>
          <w:color w:val="000000" w:themeColor="text1"/>
          <w:szCs w:val="24"/>
          <w:u w:val="single"/>
        </w:rPr>
        <w:t>RASHODA ZA ZAPOSLENE</w:t>
      </w:r>
      <w:r>
        <w:rPr>
          <w:rFonts w:ascii="Times New Roman" w:hAnsi="Times New Roman"/>
          <w:color w:val="000000" w:themeColor="text1"/>
          <w:szCs w:val="24"/>
        </w:rPr>
        <w:t xml:space="preserve"> - šifra 31 -  u iznosu od 301.693,31 eura: </w:t>
      </w:r>
    </w:p>
    <w:p w14:paraId="4C866B05"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šifra 311 - bruto plaća za redovan i prekovremeni rad u iznosu od 196.574,06 eura</w:t>
      </w:r>
    </w:p>
    <w:p w14:paraId="5BC48AF0"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šifra 312 - ostali rashodi za zaposlene u iznosu od 16.566,87 eura</w:t>
      </w:r>
    </w:p>
    <w:p w14:paraId="1E12F726"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šifra 313 - doprinosi na plaću (doprinosi za mirovinsko i obvezno zdravstveno osiguranje)</w:t>
      </w:r>
    </w:p>
    <w:p w14:paraId="58A03E1A" w14:textId="77777777" w:rsidR="00A135D9" w:rsidRDefault="00000000">
      <w:pPr>
        <w:spacing w:line="276" w:lineRule="auto"/>
        <w:ind w:firstLineChars="350" w:firstLine="840"/>
        <w:rPr>
          <w:rFonts w:ascii="Times New Roman" w:hAnsi="Times New Roman"/>
          <w:color w:val="000000" w:themeColor="text1"/>
          <w:szCs w:val="24"/>
        </w:rPr>
      </w:pPr>
      <w:r>
        <w:rPr>
          <w:rFonts w:ascii="Times New Roman" w:hAnsi="Times New Roman"/>
          <w:color w:val="000000" w:themeColor="text1"/>
          <w:szCs w:val="24"/>
        </w:rPr>
        <w:t xml:space="preserve"> u iznosu od 88.552,38 eura </w:t>
      </w:r>
    </w:p>
    <w:p w14:paraId="167B485C" w14:textId="77777777" w:rsidR="00A135D9" w:rsidRDefault="00A135D9">
      <w:pPr>
        <w:spacing w:line="276" w:lineRule="auto"/>
        <w:ind w:firstLineChars="800" w:firstLine="1920"/>
        <w:rPr>
          <w:rFonts w:ascii="Times New Roman" w:hAnsi="Times New Roman"/>
          <w:color w:val="000000" w:themeColor="text1"/>
          <w:szCs w:val="24"/>
        </w:rPr>
      </w:pPr>
    </w:p>
    <w:p w14:paraId="1293ADE4"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xml:space="preserve">U prethodnom izvještajnom razdoblju iznosili su 236.115,37 eura. Do povećanja u tekućem izvještajnom razdoblju došlo je iz razloga povećanja bruto plaća a time i ostalih doprinosa na plaću. </w:t>
      </w:r>
    </w:p>
    <w:p w14:paraId="4682CDB5" w14:textId="77777777" w:rsidR="00A135D9" w:rsidRDefault="00A135D9">
      <w:pPr>
        <w:spacing w:line="276" w:lineRule="auto"/>
        <w:rPr>
          <w:rFonts w:ascii="Times New Roman" w:hAnsi="Times New Roman"/>
          <w:color w:val="000000" w:themeColor="text1"/>
          <w:szCs w:val="24"/>
          <w:u w:val="single"/>
        </w:rPr>
      </w:pPr>
    </w:p>
    <w:p w14:paraId="231A7657" w14:textId="77777777" w:rsidR="00A135D9" w:rsidRDefault="00000000">
      <w:pPr>
        <w:spacing w:line="276" w:lineRule="auto"/>
        <w:ind w:firstLine="720"/>
        <w:rPr>
          <w:rFonts w:ascii="Times New Roman" w:hAnsi="Times New Roman"/>
          <w:color w:val="000000" w:themeColor="text1"/>
          <w:szCs w:val="24"/>
        </w:rPr>
      </w:pPr>
      <w:r>
        <w:rPr>
          <w:rFonts w:ascii="Times New Roman" w:hAnsi="Times New Roman"/>
          <w:color w:val="000000" w:themeColor="text1"/>
          <w:szCs w:val="24"/>
          <w:u w:val="single"/>
        </w:rPr>
        <w:t>MATERIJALNIH RASHODA</w:t>
      </w:r>
      <w:r>
        <w:rPr>
          <w:rFonts w:ascii="Times New Roman" w:hAnsi="Times New Roman"/>
          <w:color w:val="000000" w:themeColor="text1"/>
          <w:szCs w:val="24"/>
        </w:rPr>
        <w:t xml:space="preserve"> - šifra 32 - u iznosu od 66.344,88 eura:</w:t>
      </w:r>
    </w:p>
    <w:p w14:paraId="493ABC6D"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šifra 321 - naknade troškova zaposlenima u iznosu od 8.318,60 eura (naknade za prijevoz, za rad na terenu i odvojeni život - 7.312,90 eura, stručno osposobljavanje zaposlenika - 1.005,70 eura)</w:t>
      </w:r>
    </w:p>
    <w:p w14:paraId="6D5B6CC0"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šifra 322 - rashodi za materijal i energiju u iznosu od 41.710,22 eura (uredski materijal i ostali materijalni rashodi - 7.134,34 eura, materijal i sirovine - 23.909,31 eura, energija - 8.329,38 eura, materijal i dijelovi za tekuće i investicijsko održavanje - 481,10 eura, sitni inventar i auto gume - 1.640,09 eura, službena, radna i zaštitna odjeća i obuća - 216,00 eura)</w:t>
      </w:r>
    </w:p>
    <w:p w14:paraId="6767E2B5"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xml:space="preserve">- šifra 323 - rashodi za usluge u iznosu od 13.171,29 eura (usluga pošte - 60,02 eura, usluge tekućeg i investicijskog održavanja - 1.548,04 eura, komunalne usluge - 2.317,53 eura, zakupnine i najamnine - 375,86 eura, zdravstvene usluge - 585,28 eura, intelektualne i osobne usluge - 2.209,80 eura, računalne usluge - 4.751,19 eura, ostale usluge - 1.323,57 eura) </w:t>
      </w:r>
    </w:p>
    <w:p w14:paraId="17711565"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 xml:space="preserve">- šifra 329 - ostali nespomenuti rashodi poslovanja u iznosu od 3.144,77 eura (naknade za rad predstavničkih tijela i povjerenstava - 792,84 eura, premije osiguranja - 1.993,47 eura, ostali nespomenuti rashodi poslovanja - 358,46 eura). </w:t>
      </w:r>
    </w:p>
    <w:p w14:paraId="684E7CC9" w14:textId="77777777" w:rsidR="00A135D9" w:rsidRDefault="00A135D9">
      <w:pPr>
        <w:spacing w:line="276" w:lineRule="auto"/>
        <w:rPr>
          <w:rFonts w:ascii="Times New Roman" w:hAnsi="Times New Roman"/>
          <w:color w:val="000000" w:themeColor="text1"/>
          <w:szCs w:val="24"/>
        </w:rPr>
      </w:pPr>
    </w:p>
    <w:p w14:paraId="26161498"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t>U prethodnom izvještajnom razdoblju iznosili su 58.456,17 eura. Do povećanja u tekućem izvještajnom razdoblju došlo je zbog povećanja naknade troškova zaposlenima - naknada za prijevoz te stručno osposobljavanje djelatnika, povećanje rashoda za materijal, sirovine, energiju, tekuće i investicijsko održavanje, komunalne, računalne i zdravstvene usluge te premije osiguranja.</w:t>
      </w:r>
    </w:p>
    <w:p w14:paraId="3820E270" w14:textId="77777777" w:rsidR="00A135D9" w:rsidRDefault="00A135D9">
      <w:pPr>
        <w:spacing w:line="276" w:lineRule="auto"/>
        <w:rPr>
          <w:rFonts w:ascii="Times New Roman" w:hAnsi="Times New Roman"/>
          <w:color w:val="000000" w:themeColor="text1"/>
          <w:szCs w:val="24"/>
        </w:rPr>
      </w:pPr>
    </w:p>
    <w:p w14:paraId="609BA6A5" w14:textId="7A9A68BF" w:rsidR="00A135D9" w:rsidRDefault="00000000">
      <w:pPr>
        <w:spacing w:line="276" w:lineRule="auto"/>
        <w:ind w:firstLine="720"/>
        <w:rPr>
          <w:rFonts w:ascii="Times New Roman" w:hAnsi="Times New Roman"/>
          <w:color w:val="000000" w:themeColor="text1"/>
          <w:szCs w:val="24"/>
        </w:rPr>
      </w:pPr>
      <w:r>
        <w:rPr>
          <w:rFonts w:ascii="Times New Roman" w:hAnsi="Times New Roman"/>
          <w:color w:val="000000" w:themeColor="text1"/>
          <w:szCs w:val="24"/>
          <w:u w:val="single"/>
        </w:rPr>
        <w:t>FINANCIJSKIH RASHODA</w:t>
      </w:r>
      <w:r>
        <w:rPr>
          <w:rFonts w:ascii="Times New Roman" w:hAnsi="Times New Roman"/>
          <w:color w:val="000000" w:themeColor="text1"/>
          <w:szCs w:val="24"/>
        </w:rPr>
        <w:t xml:space="preserve"> - šifra 34 - u iznosu od 8</w:t>
      </w:r>
      <w:r w:rsidR="00DE0554">
        <w:rPr>
          <w:rFonts w:ascii="Times New Roman" w:hAnsi="Times New Roman"/>
          <w:color w:val="000000" w:themeColor="text1"/>
          <w:szCs w:val="24"/>
        </w:rPr>
        <w:t>8</w:t>
      </w:r>
      <w:r>
        <w:rPr>
          <w:rFonts w:ascii="Times New Roman" w:hAnsi="Times New Roman"/>
          <w:color w:val="000000" w:themeColor="text1"/>
          <w:szCs w:val="24"/>
        </w:rPr>
        <w:t xml:space="preserve">9,87 eura, a odnosi se na bankarske usluge i usluge platnog prometa. </w:t>
      </w:r>
    </w:p>
    <w:p w14:paraId="4E54FE7A" w14:textId="77777777" w:rsidR="00A135D9" w:rsidRDefault="00A135D9">
      <w:pPr>
        <w:spacing w:line="276" w:lineRule="auto"/>
        <w:ind w:firstLine="720"/>
        <w:rPr>
          <w:rFonts w:ascii="Times New Roman" w:hAnsi="Times New Roman"/>
          <w:color w:val="000000" w:themeColor="text1"/>
          <w:szCs w:val="24"/>
        </w:rPr>
      </w:pPr>
    </w:p>
    <w:p w14:paraId="2DB375CC" w14:textId="77777777" w:rsidR="00A135D9" w:rsidRDefault="00000000">
      <w:pPr>
        <w:spacing w:line="276" w:lineRule="auto"/>
        <w:ind w:firstLine="720"/>
        <w:rPr>
          <w:rFonts w:ascii="Times New Roman" w:hAnsi="Times New Roman"/>
          <w:color w:val="000000" w:themeColor="text1"/>
          <w:szCs w:val="24"/>
        </w:rPr>
      </w:pPr>
      <w:r>
        <w:rPr>
          <w:rFonts w:ascii="Times New Roman" w:hAnsi="Times New Roman"/>
          <w:color w:val="000000" w:themeColor="text1"/>
          <w:szCs w:val="24"/>
        </w:rPr>
        <w:t xml:space="preserve">U prethodnom izvještajnom razdoblju iznosili su 781,11 eura. Do povećanja je došlo iz razlog povećanja bankarskih usluga te usluga platnog prometa. </w:t>
      </w:r>
    </w:p>
    <w:p w14:paraId="58BAE707" w14:textId="77777777" w:rsidR="00A135D9" w:rsidRDefault="00A135D9">
      <w:pPr>
        <w:spacing w:line="276" w:lineRule="auto"/>
        <w:ind w:firstLine="720"/>
        <w:rPr>
          <w:rFonts w:ascii="Times New Roman" w:hAnsi="Times New Roman"/>
          <w:color w:val="000000" w:themeColor="text1"/>
          <w:szCs w:val="24"/>
        </w:rPr>
      </w:pPr>
    </w:p>
    <w:tbl>
      <w:tblPr>
        <w:tblStyle w:val="Reetkatablice"/>
        <w:tblW w:w="0" w:type="auto"/>
        <w:tblInd w:w="402" w:type="dxa"/>
        <w:tblLook w:val="04A0" w:firstRow="1" w:lastRow="0" w:firstColumn="1" w:lastColumn="0" w:noHBand="0" w:noVBand="1"/>
      </w:tblPr>
      <w:tblGrid>
        <w:gridCol w:w="686"/>
        <w:gridCol w:w="4082"/>
        <w:gridCol w:w="2017"/>
        <w:gridCol w:w="3270"/>
      </w:tblGrid>
      <w:tr w:rsidR="00A135D9" w14:paraId="3107375D" w14:textId="77777777">
        <w:tc>
          <w:tcPr>
            <w:tcW w:w="696" w:type="dxa"/>
          </w:tcPr>
          <w:p w14:paraId="153DE22B" w14:textId="77777777" w:rsidR="00A135D9" w:rsidRDefault="00A135D9">
            <w:pPr>
              <w:spacing w:line="276" w:lineRule="auto"/>
              <w:rPr>
                <w:rFonts w:ascii="Times New Roman" w:hAnsi="Times New Roman"/>
                <w:szCs w:val="24"/>
              </w:rPr>
            </w:pPr>
          </w:p>
        </w:tc>
        <w:tc>
          <w:tcPr>
            <w:tcW w:w="4177" w:type="dxa"/>
          </w:tcPr>
          <w:p w14:paraId="021A514F" w14:textId="77777777" w:rsidR="00A135D9" w:rsidRDefault="00A135D9">
            <w:pPr>
              <w:spacing w:line="276" w:lineRule="auto"/>
              <w:rPr>
                <w:rFonts w:ascii="Times New Roman" w:hAnsi="Times New Roman"/>
                <w:szCs w:val="24"/>
              </w:rPr>
            </w:pPr>
          </w:p>
        </w:tc>
        <w:tc>
          <w:tcPr>
            <w:tcW w:w="2047" w:type="dxa"/>
          </w:tcPr>
          <w:p w14:paraId="46ADF454" w14:textId="77777777" w:rsidR="00A135D9" w:rsidRDefault="00000000">
            <w:pPr>
              <w:spacing w:line="276" w:lineRule="auto"/>
              <w:jc w:val="center"/>
              <w:rPr>
                <w:rFonts w:ascii="Times New Roman" w:hAnsi="Times New Roman"/>
                <w:szCs w:val="24"/>
              </w:rPr>
            </w:pPr>
            <w:r>
              <w:rPr>
                <w:rFonts w:ascii="Times New Roman" w:hAnsi="Times New Roman"/>
                <w:szCs w:val="24"/>
              </w:rPr>
              <w:t>2022.</w:t>
            </w:r>
          </w:p>
        </w:tc>
        <w:tc>
          <w:tcPr>
            <w:tcW w:w="3323" w:type="dxa"/>
          </w:tcPr>
          <w:p w14:paraId="1A830FF0" w14:textId="77777777" w:rsidR="00A135D9" w:rsidRDefault="00000000">
            <w:pPr>
              <w:spacing w:line="276" w:lineRule="auto"/>
              <w:ind w:left="1260"/>
              <w:jc w:val="center"/>
              <w:rPr>
                <w:rFonts w:ascii="Times New Roman" w:hAnsi="Times New Roman"/>
                <w:szCs w:val="24"/>
              </w:rPr>
            </w:pPr>
            <w:r>
              <w:rPr>
                <w:rFonts w:ascii="Times New Roman" w:hAnsi="Times New Roman"/>
                <w:szCs w:val="24"/>
              </w:rPr>
              <w:t>2023.</w:t>
            </w:r>
          </w:p>
        </w:tc>
      </w:tr>
      <w:tr w:rsidR="00A135D9" w14:paraId="4F4AE84C" w14:textId="77777777">
        <w:tc>
          <w:tcPr>
            <w:tcW w:w="696" w:type="dxa"/>
          </w:tcPr>
          <w:p w14:paraId="7CE3C811" w14:textId="77777777" w:rsidR="00A135D9" w:rsidRDefault="00000000">
            <w:pPr>
              <w:spacing w:line="276" w:lineRule="auto"/>
              <w:rPr>
                <w:rFonts w:ascii="Times New Roman" w:hAnsi="Times New Roman"/>
                <w:b/>
                <w:bCs/>
                <w:szCs w:val="24"/>
              </w:rPr>
            </w:pPr>
            <w:r>
              <w:rPr>
                <w:rFonts w:ascii="Times New Roman" w:hAnsi="Times New Roman"/>
                <w:b/>
                <w:bCs/>
                <w:szCs w:val="24"/>
              </w:rPr>
              <w:t>3</w:t>
            </w:r>
          </w:p>
        </w:tc>
        <w:tc>
          <w:tcPr>
            <w:tcW w:w="4177" w:type="dxa"/>
          </w:tcPr>
          <w:p w14:paraId="497F39D9" w14:textId="77777777" w:rsidR="00A135D9" w:rsidRDefault="00000000">
            <w:pPr>
              <w:spacing w:line="276" w:lineRule="auto"/>
              <w:rPr>
                <w:rFonts w:ascii="Times New Roman" w:hAnsi="Times New Roman"/>
                <w:b/>
                <w:bCs/>
                <w:szCs w:val="24"/>
              </w:rPr>
            </w:pPr>
            <w:r>
              <w:rPr>
                <w:rFonts w:ascii="Times New Roman" w:hAnsi="Times New Roman"/>
                <w:b/>
                <w:bCs/>
                <w:szCs w:val="24"/>
              </w:rPr>
              <w:t>RASHODI POSLOVANJA</w:t>
            </w:r>
          </w:p>
        </w:tc>
        <w:tc>
          <w:tcPr>
            <w:tcW w:w="2047" w:type="dxa"/>
          </w:tcPr>
          <w:p w14:paraId="30DB1578" w14:textId="77777777" w:rsidR="00A135D9" w:rsidRDefault="00000000">
            <w:pPr>
              <w:spacing w:line="276" w:lineRule="auto"/>
              <w:jc w:val="right"/>
              <w:rPr>
                <w:rFonts w:ascii="Times New Roman" w:hAnsi="Times New Roman"/>
                <w:b/>
                <w:bCs/>
                <w:szCs w:val="24"/>
              </w:rPr>
            </w:pPr>
            <w:r>
              <w:rPr>
                <w:rFonts w:ascii="Times New Roman" w:hAnsi="Times New Roman"/>
                <w:b/>
                <w:bCs/>
                <w:szCs w:val="24"/>
              </w:rPr>
              <w:t xml:space="preserve">295.352,66 eura </w:t>
            </w:r>
          </w:p>
        </w:tc>
        <w:tc>
          <w:tcPr>
            <w:tcW w:w="3323" w:type="dxa"/>
          </w:tcPr>
          <w:p w14:paraId="5FD37C0D" w14:textId="77777777" w:rsidR="00A135D9" w:rsidRDefault="00000000">
            <w:pPr>
              <w:spacing w:line="276" w:lineRule="auto"/>
              <w:jc w:val="right"/>
              <w:rPr>
                <w:rFonts w:ascii="Times New Roman" w:hAnsi="Times New Roman"/>
                <w:b/>
                <w:bCs/>
                <w:szCs w:val="24"/>
              </w:rPr>
            </w:pPr>
            <w:r>
              <w:rPr>
                <w:rFonts w:ascii="Times New Roman" w:hAnsi="Times New Roman"/>
                <w:b/>
                <w:bCs/>
                <w:szCs w:val="24"/>
              </w:rPr>
              <w:t xml:space="preserve">368.928,06 eura </w:t>
            </w:r>
          </w:p>
        </w:tc>
      </w:tr>
      <w:tr w:rsidR="00A135D9" w14:paraId="627314AB" w14:textId="77777777">
        <w:tc>
          <w:tcPr>
            <w:tcW w:w="696" w:type="dxa"/>
          </w:tcPr>
          <w:p w14:paraId="07BE82D4" w14:textId="77777777" w:rsidR="00A135D9" w:rsidRDefault="00000000">
            <w:pPr>
              <w:spacing w:line="276" w:lineRule="auto"/>
              <w:rPr>
                <w:rFonts w:ascii="Times New Roman" w:hAnsi="Times New Roman"/>
                <w:szCs w:val="24"/>
              </w:rPr>
            </w:pPr>
            <w:r>
              <w:rPr>
                <w:rFonts w:ascii="Times New Roman" w:hAnsi="Times New Roman"/>
                <w:szCs w:val="24"/>
              </w:rPr>
              <w:t>31</w:t>
            </w:r>
          </w:p>
        </w:tc>
        <w:tc>
          <w:tcPr>
            <w:tcW w:w="4177" w:type="dxa"/>
          </w:tcPr>
          <w:p w14:paraId="32ADC2FA" w14:textId="77777777" w:rsidR="00A135D9" w:rsidRDefault="00000000">
            <w:pPr>
              <w:spacing w:line="276" w:lineRule="auto"/>
              <w:rPr>
                <w:rFonts w:ascii="Times New Roman" w:hAnsi="Times New Roman"/>
                <w:szCs w:val="24"/>
              </w:rPr>
            </w:pPr>
            <w:r>
              <w:rPr>
                <w:rFonts w:ascii="Times New Roman" w:hAnsi="Times New Roman"/>
                <w:szCs w:val="24"/>
              </w:rPr>
              <w:t xml:space="preserve">Rashodi za zaposlene  </w:t>
            </w:r>
          </w:p>
        </w:tc>
        <w:tc>
          <w:tcPr>
            <w:tcW w:w="2047" w:type="dxa"/>
          </w:tcPr>
          <w:p w14:paraId="4F1DC0FE"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236.115,37 eura </w:t>
            </w:r>
          </w:p>
        </w:tc>
        <w:tc>
          <w:tcPr>
            <w:tcW w:w="3323" w:type="dxa"/>
          </w:tcPr>
          <w:p w14:paraId="4381B7C0"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301.693,31 eura </w:t>
            </w:r>
          </w:p>
        </w:tc>
      </w:tr>
      <w:tr w:rsidR="00A135D9" w14:paraId="7812A4F8" w14:textId="77777777">
        <w:tc>
          <w:tcPr>
            <w:tcW w:w="696" w:type="dxa"/>
          </w:tcPr>
          <w:p w14:paraId="73ECCEBE" w14:textId="77777777" w:rsidR="00A135D9" w:rsidRDefault="00000000">
            <w:pPr>
              <w:spacing w:line="276" w:lineRule="auto"/>
              <w:rPr>
                <w:rFonts w:ascii="Times New Roman" w:hAnsi="Times New Roman"/>
                <w:szCs w:val="24"/>
              </w:rPr>
            </w:pPr>
            <w:r>
              <w:rPr>
                <w:rFonts w:ascii="Times New Roman" w:hAnsi="Times New Roman"/>
                <w:szCs w:val="24"/>
              </w:rPr>
              <w:t>32</w:t>
            </w:r>
          </w:p>
        </w:tc>
        <w:tc>
          <w:tcPr>
            <w:tcW w:w="4177" w:type="dxa"/>
          </w:tcPr>
          <w:p w14:paraId="5EC43B12" w14:textId="77777777" w:rsidR="00A135D9" w:rsidRDefault="00000000">
            <w:pPr>
              <w:spacing w:line="276" w:lineRule="auto"/>
              <w:rPr>
                <w:rFonts w:ascii="Times New Roman" w:hAnsi="Times New Roman"/>
                <w:szCs w:val="24"/>
              </w:rPr>
            </w:pPr>
            <w:r>
              <w:rPr>
                <w:rFonts w:ascii="Times New Roman" w:hAnsi="Times New Roman"/>
                <w:szCs w:val="24"/>
              </w:rPr>
              <w:t xml:space="preserve">Materijalni rashodi </w:t>
            </w:r>
          </w:p>
        </w:tc>
        <w:tc>
          <w:tcPr>
            <w:tcW w:w="2047" w:type="dxa"/>
          </w:tcPr>
          <w:p w14:paraId="291AF8AF" w14:textId="77777777" w:rsidR="00A135D9" w:rsidRDefault="00000000">
            <w:pPr>
              <w:wordWrap w:val="0"/>
              <w:spacing w:line="276" w:lineRule="auto"/>
              <w:jc w:val="right"/>
              <w:rPr>
                <w:rFonts w:ascii="Times New Roman" w:hAnsi="Times New Roman"/>
                <w:szCs w:val="24"/>
              </w:rPr>
            </w:pPr>
            <w:r>
              <w:rPr>
                <w:rFonts w:ascii="Times New Roman" w:hAnsi="Times New Roman"/>
                <w:szCs w:val="24"/>
              </w:rPr>
              <w:t>58.456,17 eura</w:t>
            </w:r>
          </w:p>
        </w:tc>
        <w:tc>
          <w:tcPr>
            <w:tcW w:w="3323" w:type="dxa"/>
          </w:tcPr>
          <w:p w14:paraId="0AC30E92" w14:textId="77777777" w:rsidR="00A135D9" w:rsidRDefault="00000000">
            <w:pPr>
              <w:spacing w:line="276" w:lineRule="auto"/>
              <w:jc w:val="right"/>
              <w:rPr>
                <w:rFonts w:ascii="Times New Roman" w:hAnsi="Times New Roman"/>
                <w:szCs w:val="24"/>
              </w:rPr>
            </w:pPr>
            <w:r>
              <w:rPr>
                <w:rFonts w:ascii="Times New Roman" w:hAnsi="Times New Roman"/>
                <w:szCs w:val="24"/>
              </w:rPr>
              <w:t xml:space="preserve">66.344,88 eura </w:t>
            </w:r>
          </w:p>
        </w:tc>
      </w:tr>
      <w:tr w:rsidR="00A135D9" w14:paraId="264BD406" w14:textId="77777777">
        <w:tc>
          <w:tcPr>
            <w:tcW w:w="696" w:type="dxa"/>
          </w:tcPr>
          <w:p w14:paraId="7E4FA531" w14:textId="77777777" w:rsidR="00A135D9" w:rsidRDefault="00000000">
            <w:pPr>
              <w:spacing w:line="276" w:lineRule="auto"/>
              <w:rPr>
                <w:rFonts w:ascii="Times New Roman" w:hAnsi="Times New Roman"/>
                <w:szCs w:val="24"/>
              </w:rPr>
            </w:pPr>
            <w:r>
              <w:rPr>
                <w:rFonts w:ascii="Times New Roman" w:hAnsi="Times New Roman"/>
                <w:szCs w:val="24"/>
              </w:rPr>
              <w:t>34</w:t>
            </w:r>
          </w:p>
        </w:tc>
        <w:tc>
          <w:tcPr>
            <w:tcW w:w="4177" w:type="dxa"/>
          </w:tcPr>
          <w:p w14:paraId="5081469B" w14:textId="77777777" w:rsidR="00A135D9" w:rsidRDefault="00000000">
            <w:pPr>
              <w:spacing w:line="276" w:lineRule="auto"/>
              <w:rPr>
                <w:rFonts w:ascii="Times New Roman" w:hAnsi="Times New Roman"/>
                <w:szCs w:val="24"/>
              </w:rPr>
            </w:pPr>
            <w:r>
              <w:rPr>
                <w:rFonts w:ascii="Times New Roman" w:hAnsi="Times New Roman"/>
                <w:szCs w:val="24"/>
              </w:rPr>
              <w:t xml:space="preserve">Financijski rashodi </w:t>
            </w:r>
          </w:p>
        </w:tc>
        <w:tc>
          <w:tcPr>
            <w:tcW w:w="2047" w:type="dxa"/>
          </w:tcPr>
          <w:p w14:paraId="0A7E8141" w14:textId="77777777" w:rsidR="00A135D9" w:rsidRDefault="00000000">
            <w:pPr>
              <w:wordWrap w:val="0"/>
              <w:spacing w:line="276" w:lineRule="auto"/>
              <w:jc w:val="right"/>
              <w:rPr>
                <w:rFonts w:ascii="Times New Roman" w:hAnsi="Times New Roman"/>
                <w:szCs w:val="24"/>
              </w:rPr>
            </w:pPr>
            <w:r>
              <w:rPr>
                <w:rFonts w:ascii="Times New Roman" w:hAnsi="Times New Roman"/>
                <w:szCs w:val="24"/>
              </w:rPr>
              <w:t xml:space="preserve">781,11 eura </w:t>
            </w:r>
          </w:p>
        </w:tc>
        <w:tc>
          <w:tcPr>
            <w:tcW w:w="3323" w:type="dxa"/>
          </w:tcPr>
          <w:p w14:paraId="32313F08" w14:textId="77777777" w:rsidR="00A135D9" w:rsidRDefault="00000000">
            <w:pPr>
              <w:wordWrap w:val="0"/>
              <w:spacing w:line="276" w:lineRule="auto"/>
              <w:jc w:val="right"/>
              <w:rPr>
                <w:rFonts w:ascii="Times New Roman" w:hAnsi="Times New Roman"/>
                <w:szCs w:val="24"/>
              </w:rPr>
            </w:pPr>
            <w:r>
              <w:rPr>
                <w:rFonts w:ascii="Times New Roman" w:hAnsi="Times New Roman"/>
                <w:szCs w:val="24"/>
              </w:rPr>
              <w:t>889,87 eura</w:t>
            </w:r>
          </w:p>
        </w:tc>
      </w:tr>
    </w:tbl>
    <w:p w14:paraId="4611B3E9" w14:textId="77777777" w:rsidR="00A135D9" w:rsidRDefault="00A135D9">
      <w:pPr>
        <w:spacing w:line="276" w:lineRule="auto"/>
        <w:rPr>
          <w:rFonts w:ascii="Times New Roman" w:hAnsi="Times New Roman"/>
          <w:color w:val="000000" w:themeColor="text1"/>
          <w:szCs w:val="24"/>
        </w:rPr>
      </w:pPr>
    </w:p>
    <w:p w14:paraId="302FC14B"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ab/>
      </w:r>
    </w:p>
    <w:p w14:paraId="3317374F" w14:textId="5AC5DBD6"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Ukupni rashodi poslovanja u 2023. godini iznose </w:t>
      </w:r>
      <w:r w:rsidR="00DE0554">
        <w:rPr>
          <w:rFonts w:ascii="Times New Roman" w:hAnsi="Times New Roman"/>
          <w:color w:val="000000" w:themeColor="text1"/>
          <w:szCs w:val="24"/>
        </w:rPr>
        <w:t xml:space="preserve">373.896,83 </w:t>
      </w:r>
      <w:r>
        <w:rPr>
          <w:rFonts w:ascii="Times New Roman" w:hAnsi="Times New Roman"/>
          <w:color w:val="000000" w:themeColor="text1"/>
          <w:szCs w:val="24"/>
        </w:rPr>
        <w:t>eura dok su u 2022. godini iznosili 2</w:t>
      </w:r>
      <w:r w:rsidR="00DE0554">
        <w:rPr>
          <w:rFonts w:ascii="Times New Roman" w:hAnsi="Times New Roman"/>
          <w:color w:val="000000" w:themeColor="text1"/>
          <w:szCs w:val="24"/>
        </w:rPr>
        <w:t xml:space="preserve">99.333,47 </w:t>
      </w:r>
      <w:r>
        <w:rPr>
          <w:rFonts w:ascii="Times New Roman" w:hAnsi="Times New Roman"/>
          <w:color w:val="000000" w:themeColor="text1"/>
          <w:szCs w:val="24"/>
        </w:rPr>
        <w:t>eura.</w:t>
      </w:r>
    </w:p>
    <w:p w14:paraId="1CB19C1B" w14:textId="4CDFFCAD"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Višak prihoda poslovanja u 2023. godini iznosi </w:t>
      </w:r>
      <w:r w:rsidR="00DE0554">
        <w:rPr>
          <w:rFonts w:ascii="Times New Roman" w:hAnsi="Times New Roman"/>
          <w:color w:val="000000" w:themeColor="text1"/>
          <w:szCs w:val="24"/>
        </w:rPr>
        <w:t xml:space="preserve">3.990,04 </w:t>
      </w:r>
      <w:r>
        <w:rPr>
          <w:rFonts w:ascii="Times New Roman" w:hAnsi="Times New Roman"/>
          <w:color w:val="000000" w:themeColor="text1"/>
          <w:szCs w:val="24"/>
        </w:rPr>
        <w:t xml:space="preserve">eura dok je u 2022. godini bilo </w:t>
      </w:r>
      <w:r w:rsidR="00266070">
        <w:rPr>
          <w:rFonts w:ascii="Times New Roman" w:hAnsi="Times New Roman"/>
          <w:color w:val="000000" w:themeColor="text1"/>
          <w:szCs w:val="24"/>
        </w:rPr>
        <w:t xml:space="preserve">25.772,27 </w:t>
      </w:r>
      <w:r>
        <w:rPr>
          <w:rFonts w:ascii="Times New Roman" w:hAnsi="Times New Roman"/>
          <w:color w:val="000000" w:themeColor="text1"/>
          <w:szCs w:val="24"/>
        </w:rPr>
        <w:t xml:space="preserve">eura. </w:t>
      </w:r>
    </w:p>
    <w:p w14:paraId="64BE7972" w14:textId="77777777" w:rsidR="00A135D9" w:rsidRDefault="00A135D9">
      <w:pPr>
        <w:spacing w:line="276" w:lineRule="auto"/>
        <w:rPr>
          <w:rFonts w:ascii="Times New Roman" w:hAnsi="Times New Roman"/>
          <w:color w:val="000000" w:themeColor="text1"/>
          <w:szCs w:val="24"/>
        </w:rPr>
      </w:pPr>
    </w:p>
    <w:p w14:paraId="7A45E8BF"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Višak prihoda poslovanja - preneseni u 2023. godini iznosi 25.772,27 eura.</w:t>
      </w:r>
    </w:p>
    <w:p w14:paraId="50422A02" w14:textId="2BC7A31A" w:rsidR="00DE0554" w:rsidRDefault="00DE0554">
      <w:pPr>
        <w:spacing w:line="276" w:lineRule="auto"/>
        <w:rPr>
          <w:rFonts w:ascii="Times New Roman" w:hAnsi="Times New Roman"/>
          <w:color w:val="000000" w:themeColor="text1"/>
          <w:szCs w:val="24"/>
        </w:rPr>
      </w:pPr>
      <w:r>
        <w:rPr>
          <w:rFonts w:ascii="Times New Roman" w:hAnsi="Times New Roman"/>
          <w:color w:val="000000" w:themeColor="text1"/>
          <w:szCs w:val="24"/>
        </w:rPr>
        <w:t>Ukupni rezultat poslovanja je višak prihoda poslovanja u iznosu od 29.762,31 eura.</w:t>
      </w:r>
    </w:p>
    <w:p w14:paraId="66FEDB86" w14:textId="77777777" w:rsidR="00A135D9" w:rsidRDefault="00000000">
      <w:pPr>
        <w:spacing w:line="276" w:lineRule="auto"/>
        <w:rPr>
          <w:rFonts w:ascii="Times New Roman" w:hAnsi="Times New Roman"/>
          <w:color w:val="000000" w:themeColor="text1"/>
          <w:szCs w:val="24"/>
        </w:rPr>
      </w:pPr>
      <w:r>
        <w:rPr>
          <w:rFonts w:ascii="Times New Roman" w:hAnsi="Times New Roman"/>
          <w:color w:val="000000" w:themeColor="text1"/>
          <w:szCs w:val="24"/>
        </w:rPr>
        <w:t xml:space="preserve">Obračunati prihodi poslovanja - nenaplaćeni u 2023. godini iznose 1.823,01 a odnose se na nepodmirene participacije roditelja za smještaj djece. U 2022. godini iznosili su 1.242,95 eura. </w:t>
      </w:r>
    </w:p>
    <w:p w14:paraId="5A38927F" w14:textId="77777777" w:rsidR="00A135D9" w:rsidRDefault="00A135D9">
      <w:pPr>
        <w:spacing w:line="276" w:lineRule="auto"/>
        <w:rPr>
          <w:rFonts w:ascii="Times New Roman" w:hAnsi="Times New Roman"/>
          <w:color w:val="000000" w:themeColor="text1"/>
          <w:szCs w:val="24"/>
        </w:rPr>
      </w:pPr>
    </w:p>
    <w:p w14:paraId="475904C7" w14:textId="77777777" w:rsidR="00A135D9" w:rsidRDefault="00A135D9">
      <w:pPr>
        <w:spacing w:line="276" w:lineRule="auto"/>
        <w:rPr>
          <w:rFonts w:ascii="Times New Roman" w:hAnsi="Times New Roman"/>
          <w:color w:val="000000" w:themeColor="text1"/>
          <w:szCs w:val="24"/>
        </w:rPr>
      </w:pPr>
    </w:p>
    <w:p w14:paraId="3D191CB0" w14:textId="77777777" w:rsidR="00A135D9" w:rsidRDefault="00000000">
      <w:pPr>
        <w:spacing w:line="276" w:lineRule="auto"/>
        <w:rPr>
          <w:rFonts w:ascii="Times New Roman" w:hAnsi="Times New Roman"/>
          <w:b/>
          <w:szCs w:val="24"/>
        </w:rPr>
      </w:pPr>
      <w:r>
        <w:rPr>
          <w:rFonts w:ascii="Times New Roman" w:hAnsi="Times New Roman"/>
          <w:b/>
          <w:szCs w:val="24"/>
        </w:rPr>
        <w:t>Bilješka br. 2.</w:t>
      </w:r>
    </w:p>
    <w:p w14:paraId="076E4FFA" w14:textId="77777777" w:rsidR="00A135D9" w:rsidRDefault="00000000">
      <w:pPr>
        <w:spacing w:line="276" w:lineRule="auto"/>
        <w:rPr>
          <w:rFonts w:ascii="Times New Roman" w:hAnsi="Times New Roman"/>
          <w:b/>
          <w:bCs/>
          <w:szCs w:val="24"/>
          <w:u w:val="single"/>
        </w:rPr>
      </w:pPr>
      <w:r>
        <w:rPr>
          <w:rFonts w:ascii="Times New Roman" w:hAnsi="Times New Roman"/>
          <w:b/>
          <w:bCs/>
          <w:szCs w:val="24"/>
          <w:u w:val="single"/>
        </w:rPr>
        <w:t>PRIHODI I RASHODI OD NEFINANCIJSKE IMOVINE</w:t>
      </w:r>
    </w:p>
    <w:p w14:paraId="2DFEDA9A" w14:textId="77777777" w:rsidR="00A135D9" w:rsidRDefault="00A135D9">
      <w:pPr>
        <w:spacing w:line="276" w:lineRule="auto"/>
        <w:rPr>
          <w:rFonts w:ascii="Times New Roman" w:hAnsi="Times New Roman"/>
          <w:b/>
          <w:bCs/>
          <w:szCs w:val="24"/>
          <w:u w:val="single"/>
        </w:rPr>
      </w:pPr>
    </w:p>
    <w:p w14:paraId="251502F0" w14:textId="77777777" w:rsidR="00A135D9" w:rsidRDefault="00000000">
      <w:pPr>
        <w:spacing w:line="276" w:lineRule="auto"/>
        <w:rPr>
          <w:rFonts w:ascii="Times New Roman" w:hAnsi="Times New Roman"/>
          <w:szCs w:val="24"/>
        </w:rPr>
      </w:pPr>
      <w:r>
        <w:rPr>
          <w:rFonts w:ascii="Times New Roman" w:hAnsi="Times New Roman"/>
          <w:b/>
          <w:bCs/>
          <w:szCs w:val="24"/>
          <w:u w:val="single"/>
        </w:rPr>
        <w:t xml:space="preserve">Šifra br. 4227 </w:t>
      </w:r>
      <w:r>
        <w:rPr>
          <w:rFonts w:ascii="Times New Roman" w:hAnsi="Times New Roman"/>
          <w:szCs w:val="24"/>
        </w:rPr>
        <w:t xml:space="preserve">odnosi se na RASHODE ZA NABAVU NEFINANCISKE IMOVINE – uređaji, strojevi i oprema za ostale namjene u iznosu od 4.968,77 eura - odnosi se na nabavu trosjeda za djecu s teškoćama te različitih igračaka primjerenih njihovim potrebama, kutne kuhinje, kutići za igru, drvene kućice te nabava kosilice </w:t>
      </w:r>
      <w:proofErr w:type="spellStart"/>
      <w:r>
        <w:rPr>
          <w:rFonts w:ascii="Times New Roman" w:hAnsi="Times New Roman"/>
          <w:szCs w:val="24"/>
        </w:rPr>
        <w:t>Husquarna</w:t>
      </w:r>
      <w:proofErr w:type="spellEnd"/>
      <w:r>
        <w:rPr>
          <w:rFonts w:ascii="Times New Roman" w:hAnsi="Times New Roman"/>
          <w:szCs w:val="24"/>
        </w:rPr>
        <w:t xml:space="preserve">.  </w:t>
      </w:r>
    </w:p>
    <w:p w14:paraId="321E857C" w14:textId="77777777" w:rsidR="00A135D9" w:rsidRDefault="00000000">
      <w:pPr>
        <w:spacing w:line="276" w:lineRule="auto"/>
        <w:rPr>
          <w:rFonts w:ascii="Times New Roman" w:hAnsi="Times New Roman"/>
          <w:szCs w:val="24"/>
        </w:rPr>
      </w:pPr>
      <w:r>
        <w:rPr>
          <w:rFonts w:ascii="Times New Roman" w:hAnsi="Times New Roman"/>
          <w:szCs w:val="24"/>
        </w:rPr>
        <w:t xml:space="preserve">U prethodnom izvještajnom razdoblju iznosili su 3.980,81 eura. </w:t>
      </w:r>
    </w:p>
    <w:p w14:paraId="57F3A6C9" w14:textId="77777777" w:rsidR="00A135D9" w:rsidRDefault="00A135D9">
      <w:pPr>
        <w:spacing w:line="276" w:lineRule="auto"/>
        <w:rPr>
          <w:rFonts w:ascii="Times New Roman" w:hAnsi="Times New Roman"/>
          <w:szCs w:val="24"/>
        </w:rPr>
      </w:pPr>
    </w:p>
    <w:p w14:paraId="39524476" w14:textId="77777777" w:rsidR="00A135D9" w:rsidRDefault="00000000">
      <w:pPr>
        <w:spacing w:line="276" w:lineRule="auto"/>
        <w:rPr>
          <w:rFonts w:ascii="Times New Roman" w:hAnsi="Times New Roman"/>
          <w:b/>
          <w:szCs w:val="24"/>
        </w:rPr>
      </w:pPr>
      <w:r>
        <w:rPr>
          <w:rFonts w:ascii="Times New Roman" w:hAnsi="Times New Roman"/>
          <w:b/>
          <w:szCs w:val="24"/>
        </w:rPr>
        <w:t>Bilješka br. 3.</w:t>
      </w:r>
    </w:p>
    <w:p w14:paraId="24193BBC" w14:textId="77777777" w:rsidR="00A135D9" w:rsidRDefault="00000000">
      <w:pPr>
        <w:spacing w:line="276" w:lineRule="auto"/>
        <w:rPr>
          <w:rFonts w:ascii="Times New Roman" w:hAnsi="Times New Roman"/>
          <w:b/>
          <w:bCs/>
          <w:szCs w:val="24"/>
          <w:u w:val="single"/>
        </w:rPr>
      </w:pPr>
      <w:r>
        <w:rPr>
          <w:rFonts w:ascii="Times New Roman" w:hAnsi="Times New Roman"/>
          <w:b/>
          <w:bCs/>
          <w:szCs w:val="24"/>
          <w:u w:val="single"/>
        </w:rPr>
        <w:t xml:space="preserve">OBVEZNI ANALITIČKI PODACI </w:t>
      </w:r>
    </w:p>
    <w:p w14:paraId="77155F1B"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11P - stanje novčanih sredstava na početku izvještajnog razdoblja u 2023. godini iznosilo je 23.607,96 eura, dok je u 2022. godini bilo 1.381,51 eura. </w:t>
      </w:r>
    </w:p>
    <w:p w14:paraId="09EE776A"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11-dugov. ukupni priljevi na novčane račune i blagajne u 2023. godini su 380.636,54 eura, dok je u 2022. godini bilo 346.923,76 eura. </w:t>
      </w:r>
    </w:p>
    <w:p w14:paraId="1C67C080" w14:textId="77777777" w:rsidR="00A135D9" w:rsidRDefault="00000000">
      <w:pPr>
        <w:spacing w:line="276" w:lineRule="auto"/>
        <w:rPr>
          <w:rFonts w:ascii="Times New Roman" w:hAnsi="Times New Roman"/>
          <w:szCs w:val="24"/>
        </w:rPr>
      </w:pPr>
      <w:r>
        <w:rPr>
          <w:rFonts w:ascii="Times New Roman" w:hAnsi="Times New Roman"/>
          <w:szCs w:val="24"/>
        </w:rPr>
        <w:t>Šifra br. 11-potraž. ukupni odljevi s novčanih računa i blagajni u 2023. godini su 376.686,90 eura, dok je u 2022. godini bilo 324.697,31 euro.</w:t>
      </w:r>
    </w:p>
    <w:p w14:paraId="5350C1AB"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11K - stanje novčanih sredstava na kraju izvještajnog razdoblja u 2023. godini su 27.557,60 eura, dok je u 2022. godini bilo 23.607,96 eura. </w:t>
      </w:r>
    </w:p>
    <w:p w14:paraId="5C22AEC9"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Z007 prosječan broj zaposlenih iznosio je na kraju izvještajnog razdoblja u 2022. i 2023. isto a to je 15 zaposlenih. </w:t>
      </w:r>
    </w:p>
    <w:p w14:paraId="399843EA"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63612 - tekuće pomoći iz državnog proračuna proračunskim korisnicima proračuna JLP(R)S u 2023. godini iznosi 3.794,00 eura a odnosi se na prijenos sredstava preko Osnivača za program </w:t>
      </w:r>
      <w:proofErr w:type="spellStart"/>
      <w:r>
        <w:rPr>
          <w:rFonts w:ascii="Times New Roman" w:hAnsi="Times New Roman"/>
          <w:szCs w:val="24"/>
        </w:rPr>
        <w:t>predškole</w:t>
      </w:r>
      <w:proofErr w:type="spellEnd"/>
      <w:r>
        <w:rPr>
          <w:rFonts w:ascii="Times New Roman" w:hAnsi="Times New Roman"/>
          <w:szCs w:val="24"/>
        </w:rPr>
        <w:t xml:space="preserve"> te za djecu s teškoćama u razvoju. </w:t>
      </w:r>
    </w:p>
    <w:p w14:paraId="21723B41"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65264 - sufinanciranje cijene usluge, participacije u 2023. godini iznosi 126.805,58 eura, dok je u 2022. godini iznosilo 114.899,77 eura. </w:t>
      </w:r>
    </w:p>
    <w:p w14:paraId="3657FEE3"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65267 - prihodi s naslova osiguranja, refundacije štete u 2023. godini iznosi 288,75 eura a odnosi se na povrat sredstava naknade štete od Croatia osiguranja - lom stakla. </w:t>
      </w:r>
    </w:p>
    <w:p w14:paraId="68DA0EDF" w14:textId="77777777" w:rsidR="00A135D9" w:rsidRDefault="00000000">
      <w:pPr>
        <w:spacing w:line="276" w:lineRule="auto"/>
        <w:rPr>
          <w:rFonts w:ascii="Times New Roman" w:hAnsi="Times New Roman"/>
          <w:szCs w:val="24"/>
        </w:rPr>
      </w:pPr>
      <w:r>
        <w:rPr>
          <w:rFonts w:ascii="Times New Roman" w:hAnsi="Times New Roman"/>
          <w:szCs w:val="24"/>
        </w:rPr>
        <w:lastRenderedPageBreak/>
        <w:t xml:space="preserve">Šifra br. 31214 - otpremnine u 2023. godini iznosi 15.566,87 eura, dok je u 2022. godini bilo 8.792,22 eura.  </w:t>
      </w:r>
    </w:p>
    <w:p w14:paraId="10797B00" w14:textId="77777777" w:rsidR="00A135D9" w:rsidRDefault="00A135D9">
      <w:pPr>
        <w:spacing w:line="276" w:lineRule="auto"/>
        <w:rPr>
          <w:rFonts w:ascii="Times New Roman" w:hAnsi="Times New Roman"/>
          <w:szCs w:val="24"/>
        </w:rPr>
      </w:pPr>
    </w:p>
    <w:p w14:paraId="1F705763" w14:textId="77777777" w:rsidR="00A135D9" w:rsidRDefault="00000000">
      <w:pPr>
        <w:spacing w:line="276" w:lineRule="auto"/>
        <w:rPr>
          <w:rFonts w:ascii="Times New Roman" w:hAnsi="Times New Roman"/>
          <w:b/>
          <w:bCs/>
          <w:szCs w:val="24"/>
          <w:u w:val="single"/>
        </w:rPr>
      </w:pPr>
      <w:r>
        <w:rPr>
          <w:rFonts w:ascii="Times New Roman" w:hAnsi="Times New Roman"/>
          <w:b/>
          <w:bCs/>
          <w:szCs w:val="24"/>
          <w:u w:val="single"/>
        </w:rPr>
        <w:t xml:space="preserve">Bilješke uz Bilancu:  </w:t>
      </w:r>
    </w:p>
    <w:p w14:paraId="33D54722" w14:textId="77777777" w:rsidR="00A135D9" w:rsidRDefault="00000000">
      <w:pPr>
        <w:spacing w:line="276" w:lineRule="auto"/>
        <w:rPr>
          <w:rFonts w:ascii="Times New Roman" w:hAnsi="Times New Roman"/>
          <w:szCs w:val="24"/>
        </w:rPr>
      </w:pPr>
      <w:r>
        <w:rPr>
          <w:rFonts w:ascii="Times New Roman" w:hAnsi="Times New Roman"/>
          <w:b/>
          <w:bCs/>
          <w:szCs w:val="24"/>
          <w:u w:val="single"/>
        </w:rPr>
        <w:t>Šifra br. B001</w:t>
      </w:r>
      <w:r>
        <w:rPr>
          <w:rFonts w:ascii="Times New Roman" w:hAnsi="Times New Roman"/>
          <w:b/>
          <w:bCs/>
          <w:szCs w:val="24"/>
        </w:rPr>
        <w:t xml:space="preserve"> </w:t>
      </w:r>
      <w:r>
        <w:rPr>
          <w:rFonts w:ascii="Times New Roman" w:hAnsi="Times New Roman"/>
          <w:szCs w:val="24"/>
        </w:rPr>
        <w:t xml:space="preserve">- IMOVINA iznosi 70.166,23 eura, a sastoji se od: nefinancijske imovine u iznosu od 15.730,83 eura i financijske imovine u iznosu od 54.435,40 eura. U prethodnom izvještajnom razdoblju bilo je iznosilo je 64.485,45 eura.  </w:t>
      </w:r>
    </w:p>
    <w:p w14:paraId="1816B8D9" w14:textId="77777777" w:rsidR="00A135D9" w:rsidRDefault="00000000">
      <w:pPr>
        <w:spacing w:line="276" w:lineRule="auto"/>
        <w:rPr>
          <w:rFonts w:ascii="Times New Roman" w:hAnsi="Times New Roman"/>
          <w:szCs w:val="24"/>
        </w:rPr>
      </w:pPr>
      <w:r>
        <w:rPr>
          <w:rFonts w:ascii="Times New Roman" w:hAnsi="Times New Roman"/>
          <w:szCs w:val="24"/>
        </w:rPr>
        <w:tab/>
        <w:t xml:space="preserve">- šifra br. 02 - proizvedena dugotrajna imovina u iznosu od 15.730,83 eura - postrojenja i oprema, a  sastoji se od: uredske opreme i namještaja u iznosu od 4.101,40 eura, komunikacijske opreme - 2.221,77 eura, opreme za održavanje i zaštitu - 128,15 eura te uređaja, strojeva i opreme - 19.142,71 eura,  sveukupno umanjeno za ispravak vrijednosti postrojenja i opreme u iznosu od 9.863,20 eura. </w:t>
      </w:r>
    </w:p>
    <w:p w14:paraId="3ABE19F9" w14:textId="77777777" w:rsidR="00A135D9" w:rsidRDefault="00000000">
      <w:pPr>
        <w:spacing w:line="276" w:lineRule="auto"/>
        <w:rPr>
          <w:rFonts w:ascii="Times New Roman" w:hAnsi="Times New Roman"/>
          <w:szCs w:val="24"/>
        </w:rPr>
      </w:pPr>
      <w:r>
        <w:rPr>
          <w:rFonts w:ascii="Times New Roman" w:hAnsi="Times New Roman"/>
          <w:szCs w:val="24"/>
        </w:rPr>
        <w:tab/>
        <w:t xml:space="preserve">- šifra br. 042 - sitni inventar u iznosu od 13.214,84 eura </w:t>
      </w:r>
    </w:p>
    <w:p w14:paraId="29F747B1" w14:textId="77777777" w:rsidR="00A135D9" w:rsidRDefault="00000000">
      <w:pPr>
        <w:spacing w:line="276" w:lineRule="auto"/>
        <w:rPr>
          <w:rFonts w:ascii="Times New Roman" w:hAnsi="Times New Roman"/>
          <w:szCs w:val="24"/>
        </w:rPr>
      </w:pPr>
      <w:r>
        <w:rPr>
          <w:rFonts w:ascii="Times New Roman" w:hAnsi="Times New Roman"/>
          <w:szCs w:val="24"/>
        </w:rPr>
        <w:tab/>
        <w:t xml:space="preserve">- šifra br. 1 - financijska imovina u iznosu od 54.435,40 eura, sastoji se od: </w:t>
      </w:r>
    </w:p>
    <w:p w14:paraId="0E8609CD" w14:textId="77777777" w:rsidR="00A135D9" w:rsidRDefault="00000000">
      <w:pPr>
        <w:spacing w:line="276" w:lineRule="auto"/>
        <w:rPr>
          <w:rFonts w:ascii="Times New Roman" w:hAnsi="Times New Roman"/>
          <w:szCs w:val="24"/>
        </w:rPr>
      </w:pPr>
      <w:r>
        <w:rPr>
          <w:rFonts w:ascii="Times New Roman" w:hAnsi="Times New Roman"/>
          <w:szCs w:val="24"/>
        </w:rPr>
        <w:tab/>
        <w:t xml:space="preserve">                  -  šifra 11 - novac u banci i blagajni - 27.557,60 eura</w:t>
      </w:r>
    </w:p>
    <w:p w14:paraId="4732AF4D" w14:textId="77777777" w:rsidR="00A135D9" w:rsidRDefault="00000000">
      <w:pPr>
        <w:spacing w:line="276" w:lineRule="auto"/>
        <w:rPr>
          <w:rFonts w:ascii="Times New Roman" w:hAnsi="Times New Roman"/>
          <w:szCs w:val="24"/>
        </w:rPr>
      </w:pPr>
      <w:r>
        <w:rPr>
          <w:rFonts w:ascii="Times New Roman" w:hAnsi="Times New Roman"/>
          <w:szCs w:val="24"/>
        </w:rPr>
        <w:tab/>
        <w:t xml:space="preserve">                  -  šifra 12 - ostala potraživanja (potraživanja za bolovanje za 11/23) - 154,03 eura </w:t>
      </w:r>
    </w:p>
    <w:p w14:paraId="7E7BEECA" w14:textId="6C9D6458" w:rsidR="00A135D9" w:rsidRDefault="00000000">
      <w:pPr>
        <w:spacing w:line="276" w:lineRule="auto"/>
        <w:ind w:left="840" w:hangingChars="350" w:hanging="840"/>
        <w:rPr>
          <w:rFonts w:ascii="Times New Roman" w:hAnsi="Times New Roman"/>
          <w:szCs w:val="24"/>
        </w:rPr>
      </w:pPr>
      <w:r>
        <w:rPr>
          <w:rFonts w:ascii="Times New Roman" w:hAnsi="Times New Roman"/>
          <w:szCs w:val="24"/>
        </w:rPr>
        <w:tab/>
        <w:t xml:space="preserve">          - šifra 16 </w:t>
      </w:r>
      <w:r w:rsidR="00DE0554">
        <w:rPr>
          <w:rFonts w:ascii="Times New Roman" w:hAnsi="Times New Roman"/>
          <w:szCs w:val="24"/>
        </w:rPr>
        <w:t xml:space="preserve">– dospjela </w:t>
      </w:r>
      <w:r>
        <w:rPr>
          <w:rFonts w:ascii="Times New Roman" w:hAnsi="Times New Roman"/>
          <w:szCs w:val="24"/>
        </w:rPr>
        <w:t xml:space="preserve"> potraživanja za prihode poslovanja - 1.823,01 eura (dugovanje roditelja za         11/23 i 12/23 usluga smještaja)</w:t>
      </w:r>
    </w:p>
    <w:p w14:paraId="7384C912" w14:textId="77777777" w:rsidR="00A135D9" w:rsidRDefault="00000000">
      <w:pPr>
        <w:spacing w:line="276" w:lineRule="auto"/>
        <w:ind w:firstLineChars="350" w:firstLine="840"/>
        <w:rPr>
          <w:rFonts w:ascii="Times New Roman" w:hAnsi="Times New Roman"/>
          <w:szCs w:val="24"/>
        </w:rPr>
      </w:pPr>
      <w:r>
        <w:rPr>
          <w:rFonts w:ascii="Times New Roman" w:hAnsi="Times New Roman"/>
          <w:szCs w:val="24"/>
        </w:rPr>
        <w:t xml:space="preserve">- šifra 19 - rashodi budućih razdoblja i nedospjela naplata prihoda - 24.900,76 eura - odnosi se na kontinuirane rashode budućih razdoblja - plaća djelatnicima vrtića za mjesec prosinac 2023. </w:t>
      </w:r>
    </w:p>
    <w:p w14:paraId="4822A3F6" w14:textId="77777777" w:rsidR="00A135D9" w:rsidRDefault="00A135D9">
      <w:pPr>
        <w:spacing w:line="276" w:lineRule="auto"/>
        <w:rPr>
          <w:rFonts w:ascii="Times New Roman" w:hAnsi="Times New Roman"/>
          <w:szCs w:val="24"/>
        </w:rPr>
      </w:pPr>
    </w:p>
    <w:p w14:paraId="73F8E7E9" w14:textId="77777777" w:rsidR="00A135D9" w:rsidRDefault="00000000">
      <w:pPr>
        <w:spacing w:line="276" w:lineRule="auto"/>
        <w:rPr>
          <w:rFonts w:ascii="Times New Roman" w:hAnsi="Times New Roman"/>
          <w:szCs w:val="24"/>
        </w:rPr>
      </w:pPr>
      <w:r>
        <w:rPr>
          <w:rFonts w:ascii="Times New Roman" w:hAnsi="Times New Roman"/>
          <w:b/>
          <w:bCs/>
          <w:szCs w:val="24"/>
          <w:u w:val="single"/>
        </w:rPr>
        <w:t>Šifra br. B003</w:t>
      </w:r>
      <w:r>
        <w:rPr>
          <w:rFonts w:ascii="Times New Roman" w:hAnsi="Times New Roman"/>
          <w:szCs w:val="24"/>
        </w:rPr>
        <w:t xml:space="preserve"> - OBVEZE I VLASTITI IZVORI u iznosu od 70.166,23 eura, a sastoje se od: </w:t>
      </w:r>
    </w:p>
    <w:p w14:paraId="2EE5C3CA" w14:textId="77777777" w:rsidR="00A135D9" w:rsidRDefault="00000000">
      <w:pPr>
        <w:spacing w:line="276"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 obveze za rashode poslovanja - 24.900,76 eura (obveze za zaposlene - 24.183,42 eura i obveze za materijalne rashode - 717,34 eura) </w:t>
      </w:r>
    </w:p>
    <w:p w14:paraId="50CDB958" w14:textId="29B9F531" w:rsidR="00A135D9" w:rsidRDefault="00000000">
      <w:pPr>
        <w:spacing w:line="276" w:lineRule="auto"/>
        <w:rPr>
          <w:rFonts w:ascii="Times New Roman" w:hAnsi="Times New Roman"/>
          <w:szCs w:val="24"/>
        </w:rPr>
      </w:pPr>
      <w:r>
        <w:rPr>
          <w:rFonts w:ascii="Times New Roman" w:hAnsi="Times New Roman"/>
          <w:szCs w:val="24"/>
        </w:rPr>
        <w:tab/>
      </w:r>
      <w:r>
        <w:rPr>
          <w:rFonts w:ascii="Times New Roman" w:hAnsi="Times New Roman"/>
          <w:szCs w:val="24"/>
        </w:rPr>
        <w:tab/>
        <w:t xml:space="preserve">- vlastiti izvori - 45.265,47  eura </w:t>
      </w:r>
      <w:bookmarkStart w:id="1" w:name="_Hlk108000278"/>
      <w:r>
        <w:rPr>
          <w:rFonts w:ascii="Times New Roman" w:hAnsi="Times New Roman"/>
          <w:szCs w:val="24"/>
        </w:rPr>
        <w:t xml:space="preserve">(vlastiti izvori i ispravak vlastitih izvora 13.680,15 eura, </w:t>
      </w:r>
      <w:r w:rsidR="00DE0554">
        <w:rPr>
          <w:rFonts w:ascii="Times New Roman" w:hAnsi="Times New Roman"/>
          <w:szCs w:val="24"/>
        </w:rPr>
        <w:t xml:space="preserve">višak </w:t>
      </w:r>
      <w:r>
        <w:rPr>
          <w:rFonts w:ascii="Times New Roman" w:hAnsi="Times New Roman"/>
          <w:szCs w:val="24"/>
        </w:rPr>
        <w:t>prihoda u iznosu od 29.762,31 eura, obračunatih prihoda od prodaje nefinancijske imovine 1.823,01</w:t>
      </w:r>
      <w:bookmarkEnd w:id="1"/>
      <w:r w:rsidR="00DE0554">
        <w:rPr>
          <w:rFonts w:ascii="Times New Roman" w:hAnsi="Times New Roman"/>
          <w:szCs w:val="24"/>
        </w:rPr>
        <w:t>eura.</w:t>
      </w:r>
    </w:p>
    <w:p w14:paraId="47B4F9FC" w14:textId="742B9C18" w:rsidR="00DE0554" w:rsidRDefault="00DE0554">
      <w:pPr>
        <w:spacing w:line="276" w:lineRule="auto"/>
        <w:rPr>
          <w:rFonts w:ascii="Times New Roman" w:hAnsi="Times New Roman"/>
          <w:szCs w:val="24"/>
        </w:rPr>
      </w:pPr>
      <w:r>
        <w:rPr>
          <w:rFonts w:ascii="Times New Roman" w:hAnsi="Times New Roman"/>
          <w:szCs w:val="24"/>
        </w:rPr>
        <w:t xml:space="preserve">Rezultata poslovanja je višak prihoda poslovanja na kontu 92211 u iznosu od 29.762,31 eura. </w:t>
      </w:r>
    </w:p>
    <w:p w14:paraId="7F4C43C0" w14:textId="77777777" w:rsidR="00A135D9" w:rsidRDefault="00000000">
      <w:pPr>
        <w:spacing w:line="276" w:lineRule="auto"/>
        <w:rPr>
          <w:rFonts w:ascii="Times New Roman" w:hAnsi="Times New Roman"/>
          <w:b/>
          <w:szCs w:val="24"/>
        </w:rPr>
      </w:pPr>
      <w:r>
        <w:rPr>
          <w:rFonts w:ascii="Times New Roman" w:hAnsi="Times New Roman"/>
          <w:b/>
          <w:szCs w:val="24"/>
        </w:rPr>
        <w:t>Bilješka br. 4.</w:t>
      </w:r>
    </w:p>
    <w:p w14:paraId="2BD01456" w14:textId="77777777" w:rsidR="00A135D9" w:rsidRDefault="00000000">
      <w:pPr>
        <w:spacing w:line="276" w:lineRule="auto"/>
        <w:rPr>
          <w:rFonts w:ascii="Times New Roman" w:hAnsi="Times New Roman"/>
          <w:b/>
          <w:bCs/>
          <w:szCs w:val="24"/>
          <w:u w:val="single"/>
        </w:rPr>
      </w:pPr>
      <w:r>
        <w:rPr>
          <w:rFonts w:ascii="Times New Roman" w:hAnsi="Times New Roman"/>
          <w:b/>
          <w:bCs/>
          <w:szCs w:val="24"/>
          <w:u w:val="single"/>
        </w:rPr>
        <w:t xml:space="preserve">IZVJEŠTAJ O OBVEZAMA </w:t>
      </w:r>
    </w:p>
    <w:p w14:paraId="68A8FD2F"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V001- stanje obveza 1. siječnja iznosi 24.043,13 eura. </w:t>
      </w:r>
    </w:p>
    <w:p w14:paraId="3605DB07" w14:textId="77777777" w:rsidR="00A135D9" w:rsidRDefault="00000000">
      <w:pPr>
        <w:spacing w:line="276" w:lineRule="auto"/>
        <w:rPr>
          <w:rFonts w:ascii="Times New Roman" w:hAnsi="Times New Roman"/>
          <w:szCs w:val="24"/>
        </w:rPr>
      </w:pPr>
      <w:r>
        <w:rPr>
          <w:rFonts w:ascii="Times New Roman" w:hAnsi="Times New Roman"/>
          <w:szCs w:val="24"/>
        </w:rPr>
        <w:t xml:space="preserve">Šifra br. V002 – povećanje obveza u izvještajnom razdoblju iznosi 438.499,77 eura. </w:t>
      </w:r>
    </w:p>
    <w:p w14:paraId="19B0650D" w14:textId="77777777" w:rsidR="00A135D9" w:rsidRDefault="00A135D9">
      <w:pPr>
        <w:spacing w:line="276" w:lineRule="auto"/>
        <w:rPr>
          <w:rFonts w:ascii="Times New Roman" w:hAnsi="Times New Roman"/>
          <w:szCs w:val="24"/>
        </w:rPr>
      </w:pPr>
    </w:p>
    <w:p w14:paraId="1F215E78" w14:textId="77777777" w:rsidR="00A135D9" w:rsidRDefault="00000000">
      <w:pPr>
        <w:spacing w:line="276" w:lineRule="auto"/>
        <w:rPr>
          <w:rFonts w:ascii="Times New Roman" w:hAnsi="Times New Roman"/>
          <w:szCs w:val="24"/>
          <w:u w:val="single"/>
        </w:rPr>
      </w:pPr>
      <w:r>
        <w:rPr>
          <w:rFonts w:ascii="Times New Roman" w:hAnsi="Times New Roman"/>
          <w:szCs w:val="24"/>
          <w:u w:val="single"/>
        </w:rPr>
        <w:t xml:space="preserve">Međusobne obveze subjekata općeg proračuna: </w:t>
      </w:r>
    </w:p>
    <w:p w14:paraId="5E31E4A7" w14:textId="77777777" w:rsidR="00A135D9" w:rsidRDefault="00000000">
      <w:pPr>
        <w:spacing w:line="276" w:lineRule="auto"/>
        <w:rPr>
          <w:rFonts w:ascii="Times New Roman" w:hAnsi="Times New Roman"/>
          <w:szCs w:val="24"/>
        </w:rPr>
      </w:pPr>
      <w:r>
        <w:rPr>
          <w:rFonts w:ascii="Times New Roman" w:hAnsi="Times New Roman"/>
          <w:szCs w:val="24"/>
        </w:rPr>
        <w:t>Šifra br. N23 – OBVEZE ZA RASHODE POSLOVANJA iznosi 433.531,00 eura, a sastoje se od:</w:t>
      </w:r>
    </w:p>
    <w:p w14:paraId="3B1DCA50" w14:textId="77777777" w:rsidR="00A135D9" w:rsidRDefault="00000000">
      <w:pPr>
        <w:pStyle w:val="Odlomakpopisa"/>
        <w:numPr>
          <w:ilvl w:val="0"/>
          <w:numId w:val="2"/>
        </w:numPr>
        <w:spacing w:line="276" w:lineRule="auto"/>
        <w:rPr>
          <w:rFonts w:ascii="Times New Roman" w:hAnsi="Times New Roman"/>
          <w:szCs w:val="24"/>
        </w:rPr>
      </w:pPr>
      <w:r>
        <w:rPr>
          <w:rFonts w:ascii="Times New Roman" w:hAnsi="Times New Roman"/>
          <w:szCs w:val="24"/>
        </w:rPr>
        <w:t>obveza za zaposlene u iznosu od 363.651,99 eura</w:t>
      </w:r>
    </w:p>
    <w:p w14:paraId="00E72B45" w14:textId="77777777" w:rsidR="00A135D9" w:rsidRDefault="00000000">
      <w:pPr>
        <w:pStyle w:val="Odlomakpopisa"/>
        <w:numPr>
          <w:ilvl w:val="0"/>
          <w:numId w:val="2"/>
        </w:numPr>
        <w:spacing w:line="276" w:lineRule="auto"/>
        <w:rPr>
          <w:rFonts w:ascii="Times New Roman" w:hAnsi="Times New Roman"/>
          <w:szCs w:val="24"/>
        </w:rPr>
      </w:pPr>
      <w:r>
        <w:rPr>
          <w:rFonts w:ascii="Times New Roman" w:hAnsi="Times New Roman"/>
          <w:szCs w:val="24"/>
        </w:rPr>
        <w:t>obveza za materijalne rashode u iznosu od 69.130,29 eura</w:t>
      </w:r>
    </w:p>
    <w:p w14:paraId="3F739F21" w14:textId="77777777" w:rsidR="00A135D9" w:rsidRDefault="00000000">
      <w:pPr>
        <w:pStyle w:val="Odlomakpopisa"/>
        <w:numPr>
          <w:ilvl w:val="0"/>
          <w:numId w:val="2"/>
        </w:numPr>
        <w:spacing w:line="276" w:lineRule="auto"/>
        <w:rPr>
          <w:rFonts w:ascii="Times New Roman" w:hAnsi="Times New Roman"/>
          <w:szCs w:val="24"/>
        </w:rPr>
      </w:pPr>
      <w:r>
        <w:rPr>
          <w:rFonts w:ascii="Times New Roman" w:hAnsi="Times New Roman"/>
          <w:szCs w:val="24"/>
        </w:rPr>
        <w:t xml:space="preserve">obveza za financijske rashode u iznosu od 748,72 eura. </w:t>
      </w:r>
    </w:p>
    <w:p w14:paraId="68BD6357" w14:textId="1CAC1CDF" w:rsidR="00A135D9" w:rsidRDefault="00DE0554">
      <w:pPr>
        <w:spacing w:line="276" w:lineRule="auto"/>
        <w:rPr>
          <w:rFonts w:ascii="Times New Roman" w:hAnsi="Times New Roman"/>
          <w:szCs w:val="24"/>
        </w:rPr>
      </w:pPr>
      <w:r>
        <w:rPr>
          <w:rFonts w:ascii="Times New Roman" w:hAnsi="Times New Roman"/>
          <w:szCs w:val="24"/>
        </w:rPr>
        <w:t>Stanje nedospjelih  obveza na dan 31. prosinca 2023. godine iznosi 24.900,76 eura a odnosi se na isplatu plaća zaposlenima za mjesec prosinac.</w:t>
      </w:r>
    </w:p>
    <w:p w14:paraId="4498FF29" w14:textId="77777777" w:rsidR="00A135D9" w:rsidRDefault="00A135D9">
      <w:pPr>
        <w:spacing w:line="276" w:lineRule="auto"/>
        <w:rPr>
          <w:rFonts w:ascii="Times New Roman" w:hAnsi="Times New Roman"/>
          <w:szCs w:val="24"/>
        </w:rPr>
      </w:pPr>
    </w:p>
    <w:p w14:paraId="3C8199B7" w14:textId="77777777" w:rsidR="00A135D9" w:rsidRDefault="00A135D9">
      <w:pPr>
        <w:rPr>
          <w:rFonts w:ascii="Times New Roman" w:hAnsi="Times New Roman"/>
          <w:color w:val="000000"/>
        </w:rPr>
      </w:pPr>
    </w:p>
    <w:p w14:paraId="52F2E8CE" w14:textId="77777777" w:rsidR="00A135D9" w:rsidRDefault="00000000">
      <w:pPr>
        <w:rPr>
          <w:rFonts w:ascii="Times New Roman" w:hAnsi="Times New Roman"/>
        </w:rPr>
      </w:pPr>
      <w:r>
        <w:rPr>
          <w:rFonts w:ascii="Times New Roman" w:hAnsi="Times New Roman"/>
        </w:rPr>
        <w:t xml:space="preserve">                  </w:t>
      </w:r>
    </w:p>
    <w:p w14:paraId="4BDA132F" w14:textId="77777777" w:rsidR="00A135D9" w:rsidRDefault="00A135D9">
      <w:pPr>
        <w:rPr>
          <w:rFonts w:ascii="Times New Roman" w:hAnsi="Times New Roman"/>
        </w:rPr>
      </w:pPr>
    </w:p>
    <w:p w14:paraId="081EBE94" w14:textId="77777777" w:rsidR="00A135D9" w:rsidRDefault="00000000">
      <w:pPr>
        <w:ind w:firstLineChars="600" w:firstLine="1440"/>
        <w:rPr>
          <w:rFonts w:ascii="Times New Roman" w:hAnsi="Times New Roman"/>
        </w:rPr>
      </w:pPr>
      <w:r>
        <w:rPr>
          <w:rFonts w:ascii="Times New Roman" w:hAnsi="Times New Roman"/>
        </w:rPr>
        <w:t xml:space="preserve">  Bilješke sastavila:</w:t>
      </w:r>
    </w:p>
    <w:p w14:paraId="1E81F8B4" w14:textId="77777777" w:rsidR="00A135D9" w:rsidRDefault="00000000">
      <w:pPr>
        <w:rPr>
          <w:rFonts w:ascii="Times New Roman" w:hAnsi="Times New Roman"/>
        </w:rPr>
      </w:pPr>
      <w:r>
        <w:rPr>
          <w:rFonts w:ascii="Times New Roman" w:hAnsi="Times New Roman"/>
        </w:rPr>
        <w:t>Viši stručni referent za računovodstvo i financije</w:t>
      </w:r>
    </w:p>
    <w:p w14:paraId="7B2EC90F" w14:textId="77777777" w:rsidR="00A135D9" w:rsidRDefault="00000000">
      <w:pPr>
        <w:rPr>
          <w:rFonts w:ascii="Times New Roman" w:hAnsi="Times New Roman"/>
        </w:rPr>
      </w:pPr>
      <w:r>
        <w:rPr>
          <w:rFonts w:ascii="Times New Roman" w:hAnsi="Times New Roman"/>
        </w:rPr>
        <w:t xml:space="preserve">                 Monika </w:t>
      </w:r>
      <w:proofErr w:type="spellStart"/>
      <w:r>
        <w:rPr>
          <w:rFonts w:ascii="Times New Roman" w:hAnsi="Times New Roman"/>
        </w:rPr>
        <w:t>Artić</w:t>
      </w:r>
      <w:proofErr w:type="spellEnd"/>
      <w:r>
        <w:rPr>
          <w:rFonts w:ascii="Times New Roman" w:hAnsi="Times New Roman"/>
        </w:rPr>
        <w:t xml:space="preserve">, </w:t>
      </w:r>
      <w:proofErr w:type="spellStart"/>
      <w:r>
        <w:rPr>
          <w:rFonts w:ascii="Times New Roman" w:hAnsi="Times New Roman"/>
        </w:rPr>
        <w:t>bacc</w:t>
      </w:r>
      <w:proofErr w:type="spellEnd"/>
      <w:r>
        <w:rPr>
          <w:rFonts w:ascii="Times New Roman" w:hAnsi="Times New Roman"/>
        </w:rPr>
        <w:t xml:space="preserve">. </w:t>
      </w:r>
      <w:proofErr w:type="spellStart"/>
      <w:r>
        <w:rPr>
          <w:rFonts w:ascii="Times New Roman" w:hAnsi="Times New Roman"/>
        </w:rPr>
        <w:t>oec</w:t>
      </w:r>
      <w:proofErr w:type="spellEnd"/>
      <w:r>
        <w:rPr>
          <w:rFonts w:ascii="Times New Roman" w:hAnsi="Times New Roman"/>
        </w:rPr>
        <w:t>.</w:t>
      </w:r>
    </w:p>
    <w:p w14:paraId="6BEE2F34" w14:textId="67588561" w:rsidR="00A135D9" w:rsidRDefault="00000000" w:rsidP="007D29A8">
      <w:pPr>
        <w:ind w:left="360"/>
        <w:rPr>
          <w:rFonts w:ascii="Times New Roman" w:hAnsi="Times New Roman"/>
        </w:rPr>
      </w:pPr>
      <w:r>
        <w:rPr>
          <w:rFonts w:ascii="Times New Roman" w:hAnsi="Times New Roman"/>
        </w:rPr>
        <w:t xml:space="preserve">                                                                            </w:t>
      </w:r>
    </w:p>
    <w:p w14:paraId="2B95CF09" w14:textId="77777777" w:rsidR="00A135D9" w:rsidRDefault="00A135D9">
      <w:pPr>
        <w:ind w:left="4956" w:firstLine="708"/>
        <w:rPr>
          <w:rFonts w:ascii="Times New Roman" w:hAnsi="Times New Roman"/>
        </w:rPr>
      </w:pPr>
    </w:p>
    <w:p w14:paraId="2D344A89" w14:textId="77777777" w:rsidR="00A135D9" w:rsidRDefault="00000000">
      <w:pPr>
        <w:ind w:left="4956" w:firstLine="708"/>
        <w:rPr>
          <w:rFonts w:ascii="Times New Roman" w:hAnsi="Times New Roman"/>
          <w:szCs w:val="24"/>
        </w:rPr>
      </w:pPr>
      <w:r>
        <w:rPr>
          <w:rFonts w:ascii="Times New Roman" w:hAnsi="Times New Roman"/>
          <w:szCs w:val="24"/>
        </w:rPr>
        <w:t>RAVNATELJICA DV ĐURMANEC:</w:t>
      </w:r>
    </w:p>
    <w:p w14:paraId="4A1C416F" w14:textId="77777777" w:rsidR="00A135D9" w:rsidRDefault="00000000">
      <w:pPr>
        <w:ind w:left="4956" w:firstLine="708"/>
        <w:rPr>
          <w:rFonts w:ascii="Times New Roman" w:hAnsi="Times New Roman"/>
          <w:szCs w:val="24"/>
        </w:rPr>
      </w:pPr>
      <w:r>
        <w:rPr>
          <w:rFonts w:ascii="Times New Roman" w:hAnsi="Times New Roman"/>
          <w:szCs w:val="24"/>
        </w:rPr>
        <w:t xml:space="preserve">    Jasmina Klasić, </w:t>
      </w:r>
      <w:proofErr w:type="spellStart"/>
      <w:r>
        <w:rPr>
          <w:rFonts w:ascii="Times New Roman" w:hAnsi="Times New Roman"/>
          <w:szCs w:val="24"/>
        </w:rPr>
        <w:t>bacc</w:t>
      </w:r>
      <w:proofErr w:type="spellEnd"/>
      <w:r>
        <w:rPr>
          <w:rFonts w:ascii="Times New Roman" w:hAnsi="Times New Roman"/>
          <w:szCs w:val="24"/>
        </w:rPr>
        <w:t xml:space="preserve">. </w:t>
      </w:r>
      <w:proofErr w:type="spellStart"/>
      <w:r>
        <w:rPr>
          <w:rFonts w:ascii="Times New Roman" w:hAnsi="Times New Roman"/>
          <w:szCs w:val="24"/>
        </w:rPr>
        <w:t>praesc</w:t>
      </w:r>
      <w:proofErr w:type="spellEnd"/>
      <w:r>
        <w:rPr>
          <w:rFonts w:ascii="Times New Roman" w:hAnsi="Times New Roman"/>
          <w:szCs w:val="24"/>
        </w:rPr>
        <w:t xml:space="preserve">. </w:t>
      </w:r>
      <w:proofErr w:type="spellStart"/>
      <w:r>
        <w:rPr>
          <w:rFonts w:ascii="Times New Roman" w:hAnsi="Times New Roman"/>
          <w:szCs w:val="24"/>
        </w:rPr>
        <w:t>educ</w:t>
      </w:r>
      <w:proofErr w:type="spellEnd"/>
      <w:r>
        <w:rPr>
          <w:rFonts w:ascii="Times New Roman" w:hAnsi="Times New Roman"/>
          <w:szCs w:val="24"/>
        </w:rPr>
        <w:t>.</w:t>
      </w:r>
    </w:p>
    <w:p w14:paraId="39072D18" w14:textId="77777777" w:rsidR="00A135D9" w:rsidRDefault="00A135D9">
      <w:pPr>
        <w:ind w:left="360"/>
        <w:rPr>
          <w:rFonts w:ascii="Times New Roman" w:hAnsi="Times New Roman"/>
          <w:szCs w:val="24"/>
        </w:rPr>
      </w:pPr>
    </w:p>
    <w:p w14:paraId="6359CF87" w14:textId="77777777" w:rsidR="00A135D9" w:rsidRDefault="00A135D9">
      <w:pPr>
        <w:ind w:left="360"/>
        <w:rPr>
          <w:rFonts w:ascii="Times New Roman" w:hAnsi="Times New Roman"/>
        </w:rPr>
      </w:pPr>
    </w:p>
    <w:p w14:paraId="077B57C5" w14:textId="77777777" w:rsidR="00A135D9" w:rsidRDefault="00A135D9">
      <w:pPr>
        <w:rPr>
          <w:rFonts w:ascii="Times New Roman" w:hAnsi="Times New Roman"/>
        </w:rPr>
      </w:pPr>
    </w:p>
    <w:p w14:paraId="21E2DF5C" w14:textId="77777777" w:rsidR="00A135D9" w:rsidRDefault="00A135D9">
      <w:pPr>
        <w:rPr>
          <w:rFonts w:ascii="Times New Roman" w:hAnsi="Times New Roman"/>
        </w:rPr>
      </w:pPr>
    </w:p>
    <w:p w14:paraId="179F8824" w14:textId="77777777" w:rsidR="00A135D9" w:rsidRDefault="00A135D9">
      <w:pPr>
        <w:rPr>
          <w:rFonts w:ascii="Times New Roman" w:hAnsi="Times New Roman"/>
        </w:rPr>
      </w:pPr>
    </w:p>
    <w:p w14:paraId="5E369E00" w14:textId="77777777" w:rsidR="00A135D9" w:rsidRDefault="00A135D9">
      <w:pPr>
        <w:rPr>
          <w:rFonts w:ascii="Times New Roman" w:hAnsi="Times New Roman"/>
        </w:rPr>
      </w:pPr>
    </w:p>
    <w:p w14:paraId="7058466E" w14:textId="77777777" w:rsidR="00A135D9" w:rsidRDefault="00A135D9">
      <w:pPr>
        <w:rPr>
          <w:rFonts w:ascii="Times New Roman" w:hAnsi="Times New Roman"/>
        </w:rPr>
      </w:pPr>
    </w:p>
    <w:p w14:paraId="0592E167" w14:textId="77777777" w:rsidR="00A135D9" w:rsidRDefault="00A135D9">
      <w:pPr>
        <w:rPr>
          <w:rFonts w:ascii="Times New Roman" w:hAnsi="Times New Roman"/>
        </w:rPr>
      </w:pPr>
    </w:p>
    <w:p w14:paraId="6EDDCE35" w14:textId="77777777" w:rsidR="00A135D9" w:rsidRDefault="00A135D9">
      <w:pPr>
        <w:rPr>
          <w:rFonts w:ascii="Times New Roman" w:hAnsi="Times New Roman"/>
        </w:rPr>
      </w:pPr>
    </w:p>
    <w:p w14:paraId="4E3CC462" w14:textId="77777777" w:rsidR="00A135D9" w:rsidRDefault="00A135D9">
      <w:pPr>
        <w:rPr>
          <w:rFonts w:ascii="Times New Roman" w:hAnsi="Times New Roman"/>
        </w:rPr>
      </w:pPr>
    </w:p>
    <w:p w14:paraId="0C46CAA2" w14:textId="77777777" w:rsidR="00A135D9" w:rsidRDefault="00A135D9">
      <w:pPr>
        <w:rPr>
          <w:rFonts w:ascii="Times New Roman" w:hAnsi="Times New Roman"/>
        </w:rPr>
      </w:pPr>
    </w:p>
    <w:p w14:paraId="12D852F7" w14:textId="77777777" w:rsidR="00A135D9" w:rsidRDefault="00A135D9">
      <w:pPr>
        <w:rPr>
          <w:rFonts w:ascii="Times New Roman" w:hAnsi="Times New Roman"/>
        </w:rPr>
      </w:pPr>
    </w:p>
    <w:p w14:paraId="0FF3845B" w14:textId="77777777" w:rsidR="00A135D9" w:rsidRDefault="00A135D9">
      <w:pPr>
        <w:rPr>
          <w:rFonts w:ascii="Times New Roman" w:hAnsi="Times New Roman"/>
        </w:rPr>
      </w:pPr>
    </w:p>
    <w:p w14:paraId="0C295A7F" w14:textId="77777777" w:rsidR="00A135D9" w:rsidRDefault="00A135D9"/>
    <w:p w14:paraId="29817FE6" w14:textId="77777777" w:rsidR="00A135D9" w:rsidRDefault="00A135D9"/>
    <w:p w14:paraId="68145226" w14:textId="77777777" w:rsidR="00A135D9" w:rsidRDefault="00A135D9"/>
    <w:p w14:paraId="6EA07376" w14:textId="77777777" w:rsidR="00A135D9" w:rsidRDefault="00A135D9"/>
    <w:p w14:paraId="1C7A7925" w14:textId="77777777" w:rsidR="00A135D9" w:rsidRDefault="00A135D9"/>
    <w:p w14:paraId="21863CE9" w14:textId="77777777" w:rsidR="00A135D9" w:rsidRDefault="00A135D9"/>
    <w:p w14:paraId="35DB8086" w14:textId="77777777" w:rsidR="00A135D9" w:rsidRDefault="00A135D9"/>
    <w:p w14:paraId="40DE7244" w14:textId="77777777" w:rsidR="00A135D9" w:rsidRDefault="00A135D9"/>
    <w:p w14:paraId="30D26F86" w14:textId="77777777" w:rsidR="00A135D9" w:rsidRDefault="00A135D9"/>
    <w:p w14:paraId="140D32D6" w14:textId="77777777" w:rsidR="00A135D9" w:rsidRDefault="00A135D9"/>
    <w:p w14:paraId="5963F656" w14:textId="77777777" w:rsidR="00A135D9" w:rsidRDefault="00A135D9"/>
    <w:p w14:paraId="6AEE1CBA" w14:textId="77777777" w:rsidR="00A135D9" w:rsidRDefault="00A135D9"/>
    <w:p w14:paraId="4BD10375" w14:textId="77777777" w:rsidR="00A135D9" w:rsidRDefault="00A135D9"/>
    <w:p w14:paraId="2C7E6AF5" w14:textId="77777777" w:rsidR="00A135D9" w:rsidRDefault="00A135D9"/>
    <w:p w14:paraId="08DA0F7A" w14:textId="77777777" w:rsidR="00A135D9" w:rsidRDefault="00A135D9">
      <w:pPr>
        <w:ind w:left="5316" w:firstLine="348"/>
      </w:pPr>
    </w:p>
    <w:p w14:paraId="30905FF6" w14:textId="77777777" w:rsidR="00A135D9" w:rsidRDefault="00A135D9">
      <w:pPr>
        <w:ind w:left="5316" w:firstLine="348"/>
      </w:pPr>
    </w:p>
    <w:p w14:paraId="2DBE3364" w14:textId="77777777" w:rsidR="00A135D9" w:rsidRDefault="00A135D9">
      <w:pPr>
        <w:ind w:left="5316" w:firstLine="348"/>
      </w:pPr>
    </w:p>
    <w:p w14:paraId="74C640B1" w14:textId="77777777" w:rsidR="00A135D9" w:rsidRDefault="00A135D9">
      <w:pPr>
        <w:ind w:left="5316" w:firstLine="348"/>
      </w:pPr>
    </w:p>
    <w:p w14:paraId="74ACBD6F" w14:textId="77777777" w:rsidR="00A135D9" w:rsidRDefault="00A135D9">
      <w:pPr>
        <w:ind w:left="5316" w:firstLine="348"/>
      </w:pPr>
    </w:p>
    <w:p w14:paraId="21EC4456" w14:textId="77777777" w:rsidR="00A135D9" w:rsidRDefault="00A135D9">
      <w:pPr>
        <w:ind w:left="5316" w:firstLine="348"/>
      </w:pPr>
    </w:p>
    <w:p w14:paraId="00065836" w14:textId="77777777" w:rsidR="00A135D9" w:rsidRDefault="00000000">
      <w:pPr>
        <w:spacing w:line="276" w:lineRule="auto"/>
        <w:ind w:firstLine="708"/>
        <w:rPr>
          <w:rFonts w:ascii="Times New Roman" w:hAnsi="Times New Roman"/>
          <w:color w:val="000000" w:themeColor="text1"/>
          <w:szCs w:val="24"/>
        </w:rPr>
      </w:pPr>
      <w:r>
        <w:rPr>
          <w:rFonts w:ascii="Times New Roman" w:hAnsi="Times New Roman"/>
          <w:color w:val="000000" w:themeColor="text1"/>
          <w:szCs w:val="24"/>
        </w:rPr>
        <w:t xml:space="preserve">  </w:t>
      </w:r>
    </w:p>
    <w:p w14:paraId="0E72AF3E" w14:textId="77777777" w:rsidR="00A135D9" w:rsidRDefault="00A135D9"/>
    <w:p w14:paraId="60B983A9" w14:textId="77777777" w:rsidR="00A135D9" w:rsidRDefault="00A135D9"/>
    <w:sectPr w:rsidR="00A135D9">
      <w:headerReference w:type="even" r:id="rId7"/>
      <w:headerReference w:type="default" r:id="rId8"/>
      <w:footerReference w:type="even" r:id="rId9"/>
      <w:footerReference w:type="default" r:id="rId10"/>
      <w:pgSz w:w="11907" w:h="16839"/>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E678" w14:textId="77777777" w:rsidR="00B35F54" w:rsidRDefault="00B35F54">
      <w:r>
        <w:separator/>
      </w:r>
    </w:p>
  </w:endnote>
  <w:endnote w:type="continuationSeparator" w:id="0">
    <w:p w14:paraId="3782D3B8" w14:textId="77777777" w:rsidR="00B35F54" w:rsidRDefault="00B3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93FC" w14:textId="77777777" w:rsidR="00A135D9" w:rsidRDefault="0000000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284FDA4" w14:textId="77777777" w:rsidR="00A135D9" w:rsidRDefault="00A135D9">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DB72" w14:textId="77777777" w:rsidR="00A135D9" w:rsidRDefault="0000000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rPr>
      <w:t>2</w:t>
    </w:r>
    <w:r>
      <w:rPr>
        <w:rStyle w:val="Brojstranice"/>
      </w:rPr>
      <w:t>1</w:t>
    </w:r>
    <w:r>
      <w:rPr>
        <w:rStyle w:val="Brojstranice"/>
      </w:rPr>
      <w:fldChar w:fldCharType="end"/>
    </w:r>
  </w:p>
  <w:p w14:paraId="76F87748" w14:textId="77777777" w:rsidR="00A135D9" w:rsidRDefault="00A135D9">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3F16" w14:textId="77777777" w:rsidR="00B35F54" w:rsidRDefault="00B35F54">
      <w:r>
        <w:separator/>
      </w:r>
    </w:p>
  </w:footnote>
  <w:footnote w:type="continuationSeparator" w:id="0">
    <w:p w14:paraId="33909691" w14:textId="77777777" w:rsidR="00B35F54" w:rsidRDefault="00B3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7EC0" w14:textId="77777777" w:rsidR="00A135D9" w:rsidRDefault="00000000">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C716870" w14:textId="77777777" w:rsidR="00A135D9" w:rsidRDefault="00A135D9">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8346" w14:textId="77777777" w:rsidR="00A135D9" w:rsidRDefault="00A135D9">
    <w:pPr>
      <w:pStyle w:val="Zaglavlje"/>
      <w:framePr w:wrap="around" w:vAnchor="text" w:hAnchor="margin" w:xAlign="right" w:y="1"/>
      <w:rPr>
        <w:rStyle w:val="Brojstranice"/>
      </w:rPr>
    </w:pPr>
  </w:p>
  <w:p w14:paraId="488B1741" w14:textId="77777777" w:rsidR="00A135D9" w:rsidRDefault="00A135D9">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1AB9A2"/>
    <w:multiLevelType w:val="singleLevel"/>
    <w:tmpl w:val="E71AB9A2"/>
    <w:lvl w:ilvl="0">
      <w:start w:val="2023"/>
      <w:numFmt w:val="decimal"/>
      <w:suff w:val="space"/>
      <w:lvlText w:val="%1."/>
      <w:lvlJc w:val="left"/>
      <w:pPr>
        <w:ind w:left="1260" w:firstLine="0"/>
      </w:pPr>
    </w:lvl>
  </w:abstractNum>
  <w:abstractNum w:abstractNumId="1" w15:restartNumberingAfterBreak="0">
    <w:nsid w:val="110A5190"/>
    <w:multiLevelType w:val="multilevel"/>
    <w:tmpl w:val="110A5190"/>
    <w:lvl w:ilvl="0">
      <w:numFmt w:val="bullet"/>
      <w:lvlText w:val="-"/>
      <w:lvlJc w:val="left"/>
      <w:pPr>
        <w:ind w:left="1065" w:hanging="360"/>
      </w:pPr>
      <w:rPr>
        <w:rFonts w:ascii="Times New Roman" w:eastAsia="Times New Roman" w:hAnsi="Times New Roman" w:cs="Times New Roma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num w:numId="1" w16cid:durableId="1382943708">
    <w:abstractNumId w:val="0"/>
  </w:num>
  <w:num w:numId="2" w16cid:durableId="107073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559"/>
    <w:rsid w:val="00057559"/>
    <w:rsid w:val="001D6E88"/>
    <w:rsid w:val="00266070"/>
    <w:rsid w:val="00783655"/>
    <w:rsid w:val="007D29A8"/>
    <w:rsid w:val="00A135D9"/>
    <w:rsid w:val="00B16F95"/>
    <w:rsid w:val="00B35F54"/>
    <w:rsid w:val="00D0046F"/>
    <w:rsid w:val="00D27981"/>
    <w:rsid w:val="00DE0554"/>
    <w:rsid w:val="011E3CE2"/>
    <w:rsid w:val="01EB59B4"/>
    <w:rsid w:val="02277D98"/>
    <w:rsid w:val="04860B7C"/>
    <w:rsid w:val="06BC6527"/>
    <w:rsid w:val="07E03571"/>
    <w:rsid w:val="084D1E2B"/>
    <w:rsid w:val="09012917"/>
    <w:rsid w:val="09E46A49"/>
    <w:rsid w:val="0CD619C5"/>
    <w:rsid w:val="0E83792A"/>
    <w:rsid w:val="10CC380A"/>
    <w:rsid w:val="10FD39C4"/>
    <w:rsid w:val="10FD7E68"/>
    <w:rsid w:val="134F44BD"/>
    <w:rsid w:val="15BD7BC5"/>
    <w:rsid w:val="168808F0"/>
    <w:rsid w:val="16DF0E96"/>
    <w:rsid w:val="16EF791E"/>
    <w:rsid w:val="1A5959E3"/>
    <w:rsid w:val="1AFA1E46"/>
    <w:rsid w:val="1B340AB0"/>
    <w:rsid w:val="1B974A15"/>
    <w:rsid w:val="1BF47CE6"/>
    <w:rsid w:val="1C0F0A4F"/>
    <w:rsid w:val="1C4353EA"/>
    <w:rsid w:val="1D94745E"/>
    <w:rsid w:val="1DF779ED"/>
    <w:rsid w:val="206F7D0E"/>
    <w:rsid w:val="20A4469A"/>
    <w:rsid w:val="219A525F"/>
    <w:rsid w:val="22232DBE"/>
    <w:rsid w:val="238E0DF3"/>
    <w:rsid w:val="24C34ACD"/>
    <w:rsid w:val="25D76220"/>
    <w:rsid w:val="26667E05"/>
    <w:rsid w:val="27225ADA"/>
    <w:rsid w:val="2729599C"/>
    <w:rsid w:val="28D10507"/>
    <w:rsid w:val="29196733"/>
    <w:rsid w:val="29883BEF"/>
    <w:rsid w:val="29E96D83"/>
    <w:rsid w:val="2A881DD7"/>
    <w:rsid w:val="2C5D1363"/>
    <w:rsid w:val="30647164"/>
    <w:rsid w:val="31B46F9B"/>
    <w:rsid w:val="332E5807"/>
    <w:rsid w:val="335C6052"/>
    <w:rsid w:val="33A901BD"/>
    <w:rsid w:val="35A65B28"/>
    <w:rsid w:val="35D42696"/>
    <w:rsid w:val="363B0967"/>
    <w:rsid w:val="37887BDC"/>
    <w:rsid w:val="37D51294"/>
    <w:rsid w:val="38F512A1"/>
    <w:rsid w:val="39B5458C"/>
    <w:rsid w:val="3AE8273F"/>
    <w:rsid w:val="3D212EDB"/>
    <w:rsid w:val="3DCD6B8B"/>
    <w:rsid w:val="3E1D4DF6"/>
    <w:rsid w:val="3ED60B74"/>
    <w:rsid w:val="3F9335C1"/>
    <w:rsid w:val="3FB86B84"/>
    <w:rsid w:val="40556AC9"/>
    <w:rsid w:val="41DB2FFE"/>
    <w:rsid w:val="42274495"/>
    <w:rsid w:val="42323228"/>
    <w:rsid w:val="42864EB0"/>
    <w:rsid w:val="437D25BE"/>
    <w:rsid w:val="4387343D"/>
    <w:rsid w:val="43EA577A"/>
    <w:rsid w:val="446E0159"/>
    <w:rsid w:val="468679DC"/>
    <w:rsid w:val="47084895"/>
    <w:rsid w:val="470923BB"/>
    <w:rsid w:val="47797541"/>
    <w:rsid w:val="47A04ACD"/>
    <w:rsid w:val="48474F49"/>
    <w:rsid w:val="48891AD3"/>
    <w:rsid w:val="48916909"/>
    <w:rsid w:val="48E87129"/>
    <w:rsid w:val="48E94BAA"/>
    <w:rsid w:val="495525A3"/>
    <w:rsid w:val="49B764FC"/>
    <w:rsid w:val="4A4F6337"/>
    <w:rsid w:val="4D7A022C"/>
    <w:rsid w:val="4E497600"/>
    <w:rsid w:val="50781E13"/>
    <w:rsid w:val="508F1B83"/>
    <w:rsid w:val="51271DBC"/>
    <w:rsid w:val="51BD44CE"/>
    <w:rsid w:val="5302663C"/>
    <w:rsid w:val="536C7F5A"/>
    <w:rsid w:val="54664607"/>
    <w:rsid w:val="548D63DA"/>
    <w:rsid w:val="55654C60"/>
    <w:rsid w:val="55E27377"/>
    <w:rsid w:val="56064695"/>
    <w:rsid w:val="568A7075"/>
    <w:rsid w:val="56A812A9"/>
    <w:rsid w:val="56AB4841"/>
    <w:rsid w:val="56E61DD1"/>
    <w:rsid w:val="577C44E3"/>
    <w:rsid w:val="57E9601D"/>
    <w:rsid w:val="583A0626"/>
    <w:rsid w:val="584C2108"/>
    <w:rsid w:val="590F6887"/>
    <w:rsid w:val="592E180D"/>
    <w:rsid w:val="5A807233"/>
    <w:rsid w:val="5AFD593B"/>
    <w:rsid w:val="5BA1276A"/>
    <w:rsid w:val="5BA95B6E"/>
    <w:rsid w:val="5BCA28B0"/>
    <w:rsid w:val="5BDA79C2"/>
    <w:rsid w:val="5EBE2215"/>
    <w:rsid w:val="5FA131F0"/>
    <w:rsid w:val="600C0AFA"/>
    <w:rsid w:val="60A01243"/>
    <w:rsid w:val="60E530F9"/>
    <w:rsid w:val="61620C52"/>
    <w:rsid w:val="642503DD"/>
    <w:rsid w:val="65351598"/>
    <w:rsid w:val="658B7DA8"/>
    <w:rsid w:val="659F31C5"/>
    <w:rsid w:val="6604096B"/>
    <w:rsid w:val="66B477F6"/>
    <w:rsid w:val="691602F4"/>
    <w:rsid w:val="6A1231B1"/>
    <w:rsid w:val="6A321D4B"/>
    <w:rsid w:val="6AC16985"/>
    <w:rsid w:val="6B313E6C"/>
    <w:rsid w:val="6BCB406A"/>
    <w:rsid w:val="6C01543E"/>
    <w:rsid w:val="6C7517D5"/>
    <w:rsid w:val="6CC87B57"/>
    <w:rsid w:val="6D3451EC"/>
    <w:rsid w:val="70D50A94"/>
    <w:rsid w:val="70FB09A4"/>
    <w:rsid w:val="71453E6C"/>
    <w:rsid w:val="72A42E14"/>
    <w:rsid w:val="73376523"/>
    <w:rsid w:val="73BA34EB"/>
    <w:rsid w:val="73FD7457"/>
    <w:rsid w:val="744C72C0"/>
    <w:rsid w:val="795804B5"/>
    <w:rsid w:val="79947825"/>
    <w:rsid w:val="7A637111"/>
    <w:rsid w:val="7B0846AC"/>
    <w:rsid w:val="7DB12889"/>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7B557"/>
  <w15:docId w15:val="{DA8B5CEC-7994-4C12-B925-E4F980511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ourier New" w:eastAsia="Times New Roman" w:hAnsi="Courier New" w:cs="Times New Roman"/>
      <w:sz w:val="24"/>
    </w:rPr>
  </w:style>
  <w:style w:type="paragraph" w:styleId="Naslov1">
    <w:name w:val="heading 1"/>
    <w:basedOn w:val="Normal"/>
    <w:next w:val="Normal"/>
    <w:qFormat/>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qFormat/>
    <w:pPr>
      <w:tabs>
        <w:tab w:val="center" w:pos="4536"/>
        <w:tab w:val="right" w:pos="9072"/>
      </w:tabs>
    </w:pPr>
  </w:style>
  <w:style w:type="paragraph" w:styleId="Zaglavlje">
    <w:name w:val="header"/>
    <w:basedOn w:val="Normal"/>
    <w:qFormat/>
    <w:pPr>
      <w:tabs>
        <w:tab w:val="center" w:pos="4536"/>
        <w:tab w:val="right" w:pos="9072"/>
      </w:tabs>
    </w:pPr>
  </w:style>
  <w:style w:type="character" w:styleId="Brojstranice">
    <w:name w:val="page number"/>
    <w:basedOn w:val="Zadanifontodlomka"/>
    <w:qFormat/>
  </w:style>
  <w:style w:type="table" w:styleId="Reetkatablice">
    <w:name w:val="Table Grid"/>
    <w:basedOn w:val="Obinatablica"/>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2131</Words>
  <Characters>12150</Characters>
  <Application>Microsoft Office Word</Application>
  <DocSecurity>0</DocSecurity>
  <Lines>101</Lines>
  <Paragraphs>28</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 PCD</cp:lastModifiedBy>
  <cp:revision>10</cp:revision>
  <cp:lastPrinted>2023-01-30T13:06:00Z</cp:lastPrinted>
  <dcterms:created xsi:type="dcterms:W3CDTF">2023-01-30T13:01:00Z</dcterms:created>
  <dcterms:modified xsi:type="dcterms:W3CDTF">2024-01-23T07:10:00Z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B1F27337258E43E7A403DBA6996B22C1</vt:lpwstr>
  </property>
</Properties>
</file>